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04FFC" w14:textId="77777777" w:rsidR="00C4690E" w:rsidRPr="006521BF" w:rsidRDefault="00C4690E" w:rsidP="00D5565E">
      <w:pPr>
        <w:pStyle w:val="2"/>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783"/>
        <w:gridCol w:w="1820"/>
        <w:gridCol w:w="1928"/>
        <w:gridCol w:w="1109"/>
        <w:gridCol w:w="1114"/>
        <w:gridCol w:w="2102"/>
        <w:gridCol w:w="1776"/>
        <w:gridCol w:w="1467"/>
        <w:gridCol w:w="1467"/>
        <w:gridCol w:w="1467"/>
        <w:gridCol w:w="3457"/>
        <w:gridCol w:w="935"/>
        <w:gridCol w:w="1311"/>
        <w:gridCol w:w="640"/>
      </w:tblGrid>
      <w:tr w:rsidR="006521BF" w:rsidRPr="006521BF" w14:paraId="7FE781E2" w14:textId="77777777" w:rsidTr="00F74FA0">
        <w:trPr>
          <w:trHeight w:val="1337"/>
          <w:jc w:val="center"/>
        </w:trPr>
        <w:tc>
          <w:tcPr>
            <w:tcW w:w="221" w:type="pct"/>
            <w:shd w:val="clear" w:color="000000" w:fill="99CCFF"/>
            <w:vAlign w:val="center"/>
            <w:hideMark/>
          </w:tcPr>
          <w:p w14:paraId="07A1BB15"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WI</w:t>
            </w:r>
          </w:p>
        </w:tc>
        <w:tc>
          <w:tcPr>
            <w:tcW w:w="175" w:type="pct"/>
            <w:shd w:val="clear" w:color="000000" w:fill="99CCFF"/>
            <w:vAlign w:val="center"/>
            <w:hideMark/>
          </w:tcPr>
          <w:p w14:paraId="6292B96B"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w:t>
            </w:r>
          </w:p>
        </w:tc>
        <w:tc>
          <w:tcPr>
            <w:tcW w:w="407" w:type="pct"/>
            <w:shd w:val="clear" w:color="000000" w:fill="99CCFF"/>
            <w:vAlign w:val="center"/>
            <w:hideMark/>
          </w:tcPr>
          <w:p w14:paraId="31E01ED4"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Feature group</w:t>
            </w:r>
          </w:p>
        </w:tc>
        <w:tc>
          <w:tcPr>
            <w:tcW w:w="431" w:type="pct"/>
            <w:shd w:val="clear" w:color="000000" w:fill="99CCFF"/>
            <w:vAlign w:val="center"/>
            <w:hideMark/>
          </w:tcPr>
          <w:p w14:paraId="7E0B8680"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Components</w:t>
            </w:r>
          </w:p>
        </w:tc>
        <w:tc>
          <w:tcPr>
            <w:tcW w:w="248" w:type="pct"/>
            <w:shd w:val="clear" w:color="000000" w:fill="99CCFF"/>
            <w:vAlign w:val="center"/>
            <w:hideMark/>
          </w:tcPr>
          <w:p w14:paraId="1B33D463"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 xml:space="preserve">Prerequisite feature groups </w:t>
            </w:r>
          </w:p>
        </w:tc>
        <w:tc>
          <w:tcPr>
            <w:tcW w:w="249" w:type="pct"/>
            <w:shd w:val="clear" w:color="000000" w:fill="99CCFF"/>
            <w:vAlign w:val="center"/>
            <w:hideMark/>
          </w:tcPr>
          <w:p w14:paraId="2E67A56B"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Need for gNB to know whether the</w:t>
            </w:r>
            <w:r w:rsidRPr="006521BF">
              <w:rPr>
                <w:rFonts w:ascii="Arial" w:eastAsia="ＭＳ Ｐゴシック" w:hAnsi="Arial" w:cs="Arial"/>
                <w:color w:val="000000" w:themeColor="text1"/>
                <w:kern w:val="0"/>
                <w:sz w:val="16"/>
                <w:szCs w:val="16"/>
              </w:rPr>
              <w:br/>
              <w:t>feature is supported by the UE</w:t>
            </w:r>
            <w:r w:rsidRPr="006521BF">
              <w:rPr>
                <w:rFonts w:ascii="Arial" w:eastAsia="ＭＳ Ｐゴシック" w:hAnsi="Arial" w:cs="Arial"/>
                <w:color w:val="000000" w:themeColor="text1"/>
                <w:kern w:val="0"/>
                <w:sz w:val="16"/>
                <w:szCs w:val="16"/>
              </w:rPr>
              <w:br/>
              <w:t>(what happens if gNB does not know?)</w:t>
            </w:r>
          </w:p>
        </w:tc>
        <w:tc>
          <w:tcPr>
            <w:tcW w:w="470" w:type="pct"/>
            <w:shd w:val="clear" w:color="000000" w:fill="99CCFF"/>
            <w:vAlign w:val="center"/>
            <w:hideMark/>
          </w:tcPr>
          <w:p w14:paraId="5941D056"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Consequences if the feature</w:t>
            </w:r>
            <w:r w:rsidRPr="006521BF">
              <w:rPr>
                <w:rFonts w:ascii="Arial" w:eastAsia="ＭＳ Ｐゴシック" w:hAnsi="Arial" w:cs="Arial"/>
                <w:color w:val="000000" w:themeColor="text1"/>
                <w:kern w:val="0"/>
                <w:sz w:val="16"/>
                <w:szCs w:val="16"/>
              </w:rPr>
              <w:br/>
              <w:t xml:space="preserve"> is not supported by the UE</w:t>
            </w:r>
          </w:p>
        </w:tc>
        <w:tc>
          <w:tcPr>
            <w:tcW w:w="397" w:type="pct"/>
            <w:shd w:val="clear" w:color="000000" w:fill="99CCFF"/>
            <w:vAlign w:val="center"/>
            <w:hideMark/>
          </w:tcPr>
          <w:p w14:paraId="4CE2649C"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Type (See R4-17121 19)</w:t>
            </w:r>
          </w:p>
        </w:tc>
        <w:tc>
          <w:tcPr>
            <w:tcW w:w="328" w:type="pct"/>
            <w:shd w:val="clear" w:color="000000" w:fill="A6A6A6"/>
            <w:vAlign w:val="center"/>
            <w:hideMark/>
          </w:tcPr>
          <w:p w14:paraId="243A87B2"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Need of FDD/TDD differentiation</w:t>
            </w:r>
          </w:p>
        </w:tc>
        <w:tc>
          <w:tcPr>
            <w:tcW w:w="328" w:type="pct"/>
            <w:shd w:val="clear" w:color="000000" w:fill="A6A6A6"/>
            <w:vAlign w:val="center"/>
            <w:hideMark/>
          </w:tcPr>
          <w:p w14:paraId="74747507"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Need of FR1/FR2 differentiation</w:t>
            </w:r>
          </w:p>
        </w:tc>
        <w:tc>
          <w:tcPr>
            <w:tcW w:w="328" w:type="pct"/>
            <w:shd w:val="clear" w:color="000000" w:fill="99CCFF"/>
            <w:vAlign w:val="center"/>
            <w:hideMark/>
          </w:tcPr>
          <w:p w14:paraId="32BA84AE"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RAN5 implication</w:t>
            </w:r>
          </w:p>
        </w:tc>
        <w:tc>
          <w:tcPr>
            <w:tcW w:w="773" w:type="pct"/>
            <w:shd w:val="clear" w:color="000000" w:fill="99CCFF"/>
            <w:vAlign w:val="center"/>
            <w:hideMark/>
          </w:tcPr>
          <w:p w14:paraId="3880D9DC"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Remarks</w:t>
            </w:r>
          </w:p>
        </w:tc>
        <w:tc>
          <w:tcPr>
            <w:tcW w:w="209" w:type="pct"/>
            <w:shd w:val="clear" w:color="000000" w:fill="99CCFF"/>
            <w:vAlign w:val="center"/>
            <w:hideMark/>
          </w:tcPr>
          <w:p w14:paraId="42328DCF"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Responsible WG</w:t>
            </w:r>
          </w:p>
        </w:tc>
        <w:tc>
          <w:tcPr>
            <w:tcW w:w="293" w:type="pct"/>
            <w:shd w:val="clear" w:color="000000" w:fill="FF00FF"/>
            <w:vAlign w:val="center"/>
            <w:hideMark/>
          </w:tcPr>
          <w:p w14:paraId="28772394"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Recommendation for TSG-RAN</w:t>
            </w:r>
          </w:p>
        </w:tc>
        <w:tc>
          <w:tcPr>
            <w:tcW w:w="143" w:type="pct"/>
            <w:shd w:val="clear" w:color="000000" w:fill="A6A6A6"/>
            <w:vAlign w:val="center"/>
            <w:hideMark/>
          </w:tcPr>
          <w:p w14:paraId="7D9CB563"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TSG-RAN decision</w:t>
            </w:r>
          </w:p>
        </w:tc>
      </w:tr>
      <w:tr w:rsidR="006521BF" w:rsidRPr="006521BF" w14:paraId="2AA1FE6F" w14:textId="77777777" w:rsidTr="004114EA">
        <w:trPr>
          <w:trHeight w:val="622"/>
          <w:jc w:val="center"/>
        </w:trPr>
        <w:tc>
          <w:tcPr>
            <w:tcW w:w="221" w:type="pct"/>
            <w:vMerge w:val="restart"/>
            <w:shd w:val="clear" w:color="auto" w:fill="auto"/>
            <w:vAlign w:val="center"/>
          </w:tcPr>
          <w:p w14:paraId="6F6EC31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bookmarkStart w:id="0" w:name="_Hlk507493406"/>
            <w:r w:rsidRPr="00A6001A">
              <w:rPr>
                <w:rFonts w:ascii="Arial" w:eastAsia="ＭＳ Ｐゴシック" w:hAnsi="Arial" w:cs="Arial"/>
                <w:color w:val="000000" w:themeColor="text1"/>
                <w:kern w:val="0"/>
                <w:sz w:val="16"/>
                <w:szCs w:val="16"/>
              </w:rPr>
              <w:t>System parameter</w:t>
            </w:r>
          </w:p>
        </w:tc>
        <w:tc>
          <w:tcPr>
            <w:tcW w:w="175" w:type="pct"/>
            <w:shd w:val="clear" w:color="auto" w:fill="auto"/>
            <w:vAlign w:val="center"/>
          </w:tcPr>
          <w:p w14:paraId="073F63A3"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1-1</w:t>
            </w:r>
          </w:p>
        </w:tc>
        <w:tc>
          <w:tcPr>
            <w:tcW w:w="407" w:type="pct"/>
            <w:shd w:val="clear" w:color="auto" w:fill="auto"/>
            <w:vAlign w:val="center"/>
          </w:tcPr>
          <w:p w14:paraId="25DE17B1"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60kHz of subcarrier spacing for FR1</w:t>
            </w:r>
          </w:p>
        </w:tc>
        <w:tc>
          <w:tcPr>
            <w:tcW w:w="431" w:type="pct"/>
            <w:shd w:val="clear" w:color="auto" w:fill="auto"/>
            <w:vAlign w:val="center"/>
          </w:tcPr>
          <w:p w14:paraId="543FB2F9"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60kHz subcarrier spacing for data channel in FR1</w:t>
            </w:r>
          </w:p>
        </w:tc>
        <w:tc>
          <w:tcPr>
            <w:tcW w:w="248" w:type="pct"/>
            <w:shd w:val="clear" w:color="auto" w:fill="auto"/>
            <w:vAlign w:val="center"/>
          </w:tcPr>
          <w:p w14:paraId="2AC1D3D9"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68E8FA0E"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4CCDDD34" w14:textId="6FAED18E"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60kHz of subcarrier spacing for data channel</w:t>
            </w:r>
            <w:r w:rsidR="00A75D44" w:rsidRPr="00A6001A">
              <w:rPr>
                <w:rFonts w:ascii="Arial" w:eastAsia="ＭＳ Ｐゴシック" w:hAnsi="Arial" w:cs="Arial"/>
                <w:color w:val="000000" w:themeColor="text1"/>
                <w:kern w:val="0"/>
                <w:sz w:val="16"/>
                <w:szCs w:val="16"/>
              </w:rPr>
              <w:t xml:space="preserve"> in FR1</w:t>
            </w:r>
          </w:p>
        </w:tc>
        <w:tc>
          <w:tcPr>
            <w:tcW w:w="397" w:type="pct"/>
            <w:shd w:val="clear" w:color="auto" w:fill="auto"/>
            <w:vAlign w:val="center"/>
          </w:tcPr>
          <w:p w14:paraId="10ABDFDF" w14:textId="36BD15CC" w:rsidR="00C4690E" w:rsidRPr="00A6001A" w:rsidRDefault="00C4690E" w:rsidP="00A75D44">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2CB8288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2FF7BDED"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4E3E02BD"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BFBFE1A"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209" w:type="pct"/>
            <w:shd w:val="clear" w:color="auto" w:fill="auto"/>
            <w:vAlign w:val="center"/>
          </w:tcPr>
          <w:p w14:paraId="4D50056F"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11ED52F0"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58936BF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699AE1CD" w14:textId="77777777" w:rsidTr="00F74FA0">
        <w:trPr>
          <w:trHeight w:val="622"/>
          <w:jc w:val="center"/>
        </w:trPr>
        <w:tc>
          <w:tcPr>
            <w:tcW w:w="221" w:type="pct"/>
            <w:vMerge/>
            <w:shd w:val="clear" w:color="auto" w:fill="auto"/>
            <w:vAlign w:val="center"/>
          </w:tcPr>
          <w:p w14:paraId="69EBC971"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159BEDE3" w14:textId="54883CA3" w:rsidR="00297AAC" w:rsidRPr="00D54EEE" w:rsidRDefault="007F10DD"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-2</w:t>
            </w:r>
          </w:p>
        </w:tc>
        <w:tc>
          <w:tcPr>
            <w:tcW w:w="407" w:type="pct"/>
            <w:shd w:val="clear" w:color="auto" w:fill="auto"/>
            <w:vAlign w:val="center"/>
          </w:tcPr>
          <w:p w14:paraId="1A01DE4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modulation for FR2 PDSCH</w:t>
            </w:r>
          </w:p>
        </w:tc>
        <w:tc>
          <w:tcPr>
            <w:tcW w:w="431" w:type="pct"/>
            <w:shd w:val="clear" w:color="auto" w:fill="auto"/>
            <w:vAlign w:val="center"/>
          </w:tcPr>
          <w:p w14:paraId="54B92834" w14:textId="77777777" w:rsidR="00C4690E" w:rsidRPr="00A6001A" w:rsidRDefault="00C4690E"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64QAM modulation for FR2 PDSCH</w:t>
            </w:r>
          </w:p>
        </w:tc>
        <w:tc>
          <w:tcPr>
            <w:tcW w:w="248" w:type="pct"/>
            <w:shd w:val="clear" w:color="auto" w:fill="auto"/>
            <w:vAlign w:val="center"/>
          </w:tcPr>
          <w:p w14:paraId="5E4827A2"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11255C67"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61569A22" w14:textId="4BF408AD" w:rsidR="00C4690E" w:rsidRPr="00A6001A" w:rsidRDefault="00364289"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for PUSCH is not possible</w:t>
            </w:r>
          </w:p>
        </w:tc>
        <w:tc>
          <w:tcPr>
            <w:tcW w:w="397" w:type="pct"/>
            <w:shd w:val="clear" w:color="auto" w:fill="auto"/>
            <w:vAlign w:val="center"/>
          </w:tcPr>
          <w:p w14:paraId="5263E577" w14:textId="1B4BFDA9"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328" w:type="pct"/>
            <w:shd w:val="clear" w:color="auto" w:fill="auto"/>
            <w:vAlign w:val="center"/>
          </w:tcPr>
          <w:p w14:paraId="5D66DB46"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4DF6EC7D"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FR2</w:t>
            </w:r>
          </w:p>
        </w:tc>
        <w:tc>
          <w:tcPr>
            <w:tcW w:w="328" w:type="pct"/>
            <w:shd w:val="clear" w:color="auto" w:fill="auto"/>
            <w:vAlign w:val="center"/>
          </w:tcPr>
          <w:p w14:paraId="14DB4C02"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BFF9EFA" w14:textId="097154BD" w:rsidR="00C4690E" w:rsidRPr="00A6001A" w:rsidRDefault="001266CB"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Capability can be discussed in future, e.g. when low cost device (e.g. IoT) and/or higher frequency band in FR2 are introduced</w:t>
            </w:r>
          </w:p>
        </w:tc>
        <w:tc>
          <w:tcPr>
            <w:tcW w:w="209" w:type="pct"/>
            <w:shd w:val="clear" w:color="auto" w:fill="auto"/>
            <w:vAlign w:val="center"/>
          </w:tcPr>
          <w:p w14:paraId="5882A3C7"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6D1E3A9"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M</w:t>
            </w:r>
            <w:r w:rsidRPr="00A6001A">
              <w:rPr>
                <w:rFonts w:ascii="Arial" w:eastAsia="ＭＳ Ｐゴシック" w:hAnsi="Arial" w:cs="Arial"/>
                <w:color w:val="000000" w:themeColor="text1"/>
                <w:kern w:val="0"/>
                <w:sz w:val="16"/>
                <w:szCs w:val="16"/>
              </w:rPr>
              <w:t xml:space="preserve">andatory without capability </w:t>
            </w:r>
          </w:p>
        </w:tc>
        <w:tc>
          <w:tcPr>
            <w:tcW w:w="143" w:type="pct"/>
            <w:shd w:val="clear" w:color="auto" w:fill="auto"/>
            <w:noWrap/>
            <w:vAlign w:val="center"/>
          </w:tcPr>
          <w:p w14:paraId="5D17801E"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3C8418B3" w14:textId="77777777" w:rsidTr="00F74FA0">
        <w:trPr>
          <w:trHeight w:val="622"/>
          <w:jc w:val="center"/>
        </w:trPr>
        <w:tc>
          <w:tcPr>
            <w:tcW w:w="221" w:type="pct"/>
            <w:vMerge/>
            <w:shd w:val="clear" w:color="auto" w:fill="auto"/>
            <w:vAlign w:val="center"/>
          </w:tcPr>
          <w:p w14:paraId="75D56CAE"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17B74F0B" w14:textId="3C35E665" w:rsidR="00297AAC"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-3</w:t>
            </w:r>
          </w:p>
        </w:tc>
        <w:tc>
          <w:tcPr>
            <w:tcW w:w="407" w:type="pct"/>
            <w:shd w:val="clear" w:color="auto" w:fill="auto"/>
            <w:vAlign w:val="center"/>
          </w:tcPr>
          <w:p w14:paraId="6E6007F9"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for PUSCH</w:t>
            </w:r>
          </w:p>
        </w:tc>
        <w:tc>
          <w:tcPr>
            <w:tcW w:w="431" w:type="pct"/>
            <w:shd w:val="clear" w:color="auto" w:fill="auto"/>
            <w:vAlign w:val="center"/>
          </w:tcPr>
          <w:p w14:paraId="751ED763"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64QAM for PUSCH</w:t>
            </w:r>
          </w:p>
        </w:tc>
        <w:tc>
          <w:tcPr>
            <w:tcW w:w="248" w:type="pct"/>
            <w:shd w:val="clear" w:color="auto" w:fill="auto"/>
          </w:tcPr>
          <w:p w14:paraId="3B39DB97"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35A9F59D"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544065FF"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for PUSCH is not possible</w:t>
            </w:r>
          </w:p>
        </w:tc>
        <w:tc>
          <w:tcPr>
            <w:tcW w:w="397" w:type="pct"/>
            <w:shd w:val="clear" w:color="auto" w:fill="auto"/>
            <w:vAlign w:val="center"/>
          </w:tcPr>
          <w:p w14:paraId="4595B8EF" w14:textId="33EF1D15"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328" w:type="pct"/>
            <w:shd w:val="clear" w:color="auto" w:fill="auto"/>
            <w:vAlign w:val="center"/>
          </w:tcPr>
          <w:p w14:paraId="1BE485BD"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28EB6021"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68D39BDE"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190F713D" w14:textId="1D0EC9A2"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Capability can be discussed in future, e.g. when low cost device (e.g. IoT) and/or higher frequency band in FR2 are introduced</w:t>
            </w:r>
          </w:p>
        </w:tc>
        <w:tc>
          <w:tcPr>
            <w:tcW w:w="209" w:type="pct"/>
            <w:shd w:val="clear" w:color="auto" w:fill="auto"/>
            <w:vAlign w:val="center"/>
          </w:tcPr>
          <w:p w14:paraId="0077DF9F"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11CA7B8E"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M</w:t>
            </w:r>
            <w:r w:rsidRPr="00A6001A">
              <w:rPr>
                <w:rFonts w:ascii="Arial" w:eastAsia="ＭＳ Ｐゴシック" w:hAnsi="Arial" w:cs="Arial"/>
                <w:color w:val="000000" w:themeColor="text1"/>
                <w:kern w:val="0"/>
                <w:sz w:val="16"/>
                <w:szCs w:val="16"/>
              </w:rPr>
              <w:t>andatory without capability</w:t>
            </w:r>
          </w:p>
        </w:tc>
        <w:tc>
          <w:tcPr>
            <w:tcW w:w="143" w:type="pct"/>
            <w:shd w:val="clear" w:color="auto" w:fill="auto"/>
            <w:noWrap/>
            <w:vAlign w:val="center"/>
          </w:tcPr>
          <w:p w14:paraId="1FF2B12F"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1E93F534" w14:textId="77777777" w:rsidTr="006B6534">
        <w:trPr>
          <w:trHeight w:val="622"/>
          <w:jc w:val="center"/>
        </w:trPr>
        <w:tc>
          <w:tcPr>
            <w:tcW w:w="221" w:type="pct"/>
            <w:vMerge/>
            <w:shd w:val="clear" w:color="auto" w:fill="auto"/>
            <w:vAlign w:val="center"/>
          </w:tcPr>
          <w:p w14:paraId="32B46B33"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E814F5B" w14:textId="385CE644" w:rsidR="00297AAC"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-4</w:t>
            </w:r>
          </w:p>
        </w:tc>
        <w:tc>
          <w:tcPr>
            <w:tcW w:w="407" w:type="pct"/>
            <w:shd w:val="clear" w:color="auto" w:fill="auto"/>
            <w:vAlign w:val="center"/>
          </w:tcPr>
          <w:p w14:paraId="51CE2901"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PDSCH</w:t>
            </w:r>
          </w:p>
        </w:tc>
        <w:tc>
          <w:tcPr>
            <w:tcW w:w="431" w:type="pct"/>
            <w:shd w:val="clear" w:color="auto" w:fill="auto"/>
            <w:vAlign w:val="center"/>
          </w:tcPr>
          <w:p w14:paraId="6D07E81F"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256QAM for PDSCH</w:t>
            </w:r>
          </w:p>
        </w:tc>
        <w:tc>
          <w:tcPr>
            <w:tcW w:w="248" w:type="pct"/>
            <w:shd w:val="clear" w:color="auto" w:fill="auto"/>
            <w:vAlign w:val="center"/>
          </w:tcPr>
          <w:p w14:paraId="6360E884"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17C50884"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7CE46D64"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PDSCH is not possible</w:t>
            </w:r>
          </w:p>
        </w:tc>
        <w:tc>
          <w:tcPr>
            <w:tcW w:w="397" w:type="pct"/>
            <w:shd w:val="clear" w:color="auto" w:fill="auto"/>
            <w:vAlign w:val="center"/>
          </w:tcPr>
          <w:p w14:paraId="6245936E" w14:textId="71FA31C0"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A75D44"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 xml:space="preserve">4 </w:t>
            </w:r>
            <w:r w:rsidR="009B3E64" w:rsidRPr="00A6001A">
              <w:rPr>
                <w:rFonts w:ascii="Arial" w:eastAsia="ＭＳ Ｐゴシック" w:hAnsi="Arial" w:cs="Arial"/>
                <w:color w:val="000000" w:themeColor="text1"/>
                <w:kern w:val="0"/>
                <w:sz w:val="16"/>
                <w:szCs w:val="16"/>
              </w:rPr>
              <w:t>for FR1</w:t>
            </w:r>
          </w:p>
          <w:p w14:paraId="2235D7C7"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p w14:paraId="06A3A797" w14:textId="5FA876AA" w:rsidR="001266CB" w:rsidRPr="00A6001A" w:rsidRDefault="00231EBE"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A75D44"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 xml:space="preserve">1 </w:t>
            </w:r>
            <w:r w:rsidR="009B3E64" w:rsidRPr="00A6001A">
              <w:rPr>
                <w:rFonts w:ascii="Arial" w:eastAsia="ＭＳ Ｐゴシック" w:hAnsi="Arial" w:cs="Arial"/>
                <w:color w:val="000000" w:themeColor="text1"/>
                <w:kern w:val="0"/>
                <w:sz w:val="16"/>
                <w:szCs w:val="16"/>
              </w:rPr>
              <w:t>for FR2</w:t>
            </w:r>
          </w:p>
        </w:tc>
        <w:tc>
          <w:tcPr>
            <w:tcW w:w="328" w:type="pct"/>
            <w:shd w:val="clear" w:color="auto" w:fill="auto"/>
            <w:vAlign w:val="center"/>
          </w:tcPr>
          <w:p w14:paraId="4F610B78"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5901DC99"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3778C9E6"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541966D9" w14:textId="77777777" w:rsidR="001266CB" w:rsidRPr="00A6001A" w:rsidRDefault="00364289" w:rsidP="001266CB">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For FR1, i</w:t>
            </w:r>
            <w:r w:rsidR="001266CB" w:rsidRPr="00A6001A">
              <w:rPr>
                <w:rFonts w:ascii="Arial" w:eastAsia="ＭＳ Ｐゴシック" w:hAnsi="Arial" w:cs="Arial"/>
                <w:color w:val="000000" w:themeColor="text1"/>
                <w:kern w:val="0"/>
                <w:sz w:val="16"/>
                <w:szCs w:val="16"/>
                <w:lang w:val="en-GB"/>
              </w:rPr>
              <w:t>t can be revisited in the future whether the 256QAM is mandated in all UE types or categories</w:t>
            </w:r>
          </w:p>
          <w:p w14:paraId="2FE6611C" w14:textId="2CE70AB4" w:rsidR="00364289" w:rsidRPr="00D54EEE" w:rsidRDefault="00364289" w:rsidP="001266CB">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hint="eastAsia"/>
                <w:color w:val="000000" w:themeColor="text1"/>
                <w:kern w:val="0"/>
                <w:sz w:val="16"/>
                <w:szCs w:val="16"/>
                <w:lang w:val="en-GB"/>
              </w:rPr>
              <w:t>F</w:t>
            </w:r>
            <w:r w:rsidRPr="00A6001A">
              <w:rPr>
                <w:rFonts w:ascii="Arial" w:eastAsia="ＭＳ Ｐゴシック" w:hAnsi="Arial" w:cs="Arial"/>
                <w:color w:val="000000" w:themeColor="text1"/>
                <w:kern w:val="0"/>
                <w:sz w:val="16"/>
                <w:szCs w:val="16"/>
                <w:lang w:val="en-GB"/>
              </w:rPr>
              <w:t xml:space="preserve">or FR2, </w:t>
            </w:r>
            <w:r w:rsidR="00231EBE" w:rsidRPr="00A6001A">
              <w:rPr>
                <w:rFonts w:ascii="Arial" w:eastAsia="ＭＳ Ｐゴシック" w:hAnsi="Arial" w:cs="Arial"/>
                <w:color w:val="000000" w:themeColor="text1"/>
                <w:kern w:val="0"/>
                <w:sz w:val="16"/>
                <w:szCs w:val="16"/>
                <w:lang w:val="en-GB"/>
              </w:rPr>
              <w:t>RAN4 will continue to discuss whether to introduce the requirements.</w:t>
            </w:r>
          </w:p>
        </w:tc>
        <w:tc>
          <w:tcPr>
            <w:tcW w:w="209" w:type="pct"/>
            <w:shd w:val="clear" w:color="auto" w:fill="auto"/>
            <w:vAlign w:val="center"/>
          </w:tcPr>
          <w:p w14:paraId="34283FDF"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0727198B" w14:textId="1499F29F"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Mandatory with capability for FR1</w:t>
            </w:r>
          </w:p>
          <w:p w14:paraId="020BA093"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p w14:paraId="131BC7ED" w14:textId="20061ED5"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 for FR2</w:t>
            </w:r>
          </w:p>
        </w:tc>
        <w:tc>
          <w:tcPr>
            <w:tcW w:w="143" w:type="pct"/>
            <w:shd w:val="clear" w:color="auto" w:fill="auto"/>
            <w:noWrap/>
            <w:vAlign w:val="center"/>
          </w:tcPr>
          <w:p w14:paraId="2BD17C22"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E0B67FC" w14:textId="77777777" w:rsidTr="006B6534">
        <w:trPr>
          <w:trHeight w:val="622"/>
          <w:jc w:val="center"/>
        </w:trPr>
        <w:tc>
          <w:tcPr>
            <w:tcW w:w="221" w:type="pct"/>
            <w:vMerge/>
            <w:shd w:val="clear" w:color="auto" w:fill="auto"/>
            <w:vAlign w:val="center"/>
          </w:tcPr>
          <w:p w14:paraId="2D327EFE"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053EAB79" w14:textId="0DFB9C12" w:rsidR="00AE4A17"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-5</w:t>
            </w:r>
          </w:p>
        </w:tc>
        <w:tc>
          <w:tcPr>
            <w:tcW w:w="407" w:type="pct"/>
            <w:shd w:val="clear" w:color="auto" w:fill="auto"/>
            <w:vAlign w:val="center"/>
          </w:tcPr>
          <w:p w14:paraId="5044E23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PUSCH</w:t>
            </w:r>
          </w:p>
        </w:tc>
        <w:tc>
          <w:tcPr>
            <w:tcW w:w="431" w:type="pct"/>
            <w:shd w:val="clear" w:color="auto" w:fill="auto"/>
            <w:vAlign w:val="center"/>
          </w:tcPr>
          <w:p w14:paraId="7DA7976B"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256QAM for PUSCH</w:t>
            </w:r>
          </w:p>
        </w:tc>
        <w:tc>
          <w:tcPr>
            <w:tcW w:w="248" w:type="pct"/>
            <w:shd w:val="clear" w:color="auto" w:fill="auto"/>
            <w:vAlign w:val="center"/>
          </w:tcPr>
          <w:p w14:paraId="2168E79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508998A5"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49B1D765"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PUSCH is not possible</w:t>
            </w:r>
          </w:p>
        </w:tc>
        <w:tc>
          <w:tcPr>
            <w:tcW w:w="397" w:type="pct"/>
            <w:shd w:val="clear" w:color="auto" w:fill="auto"/>
            <w:vAlign w:val="center"/>
          </w:tcPr>
          <w:p w14:paraId="46A11548" w14:textId="02ACA181"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ype1 for FR1</w:t>
            </w:r>
          </w:p>
          <w:p w14:paraId="2CBA51F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p w14:paraId="02E705F0" w14:textId="0EB01189" w:rsidR="00AE4A17" w:rsidRPr="00A6001A" w:rsidRDefault="00030831"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A75D44"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1 for FR2</w:t>
            </w:r>
          </w:p>
        </w:tc>
        <w:tc>
          <w:tcPr>
            <w:tcW w:w="328" w:type="pct"/>
            <w:shd w:val="clear" w:color="auto" w:fill="auto"/>
            <w:vAlign w:val="center"/>
          </w:tcPr>
          <w:p w14:paraId="73DB8B2C"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4876FFA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183ADDB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0B6A79E7" w14:textId="77777777" w:rsidR="00AE4A17" w:rsidRPr="00A6001A" w:rsidRDefault="006C5FC0"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For FR1, </w:t>
            </w:r>
            <w:r w:rsidR="00AE4A17" w:rsidRPr="00A6001A">
              <w:rPr>
                <w:rFonts w:ascii="Arial" w:eastAsia="ＭＳ Ｐゴシック" w:hAnsi="Arial" w:cs="Arial"/>
                <w:color w:val="000000" w:themeColor="text1"/>
                <w:kern w:val="0"/>
                <w:sz w:val="16"/>
                <w:szCs w:val="16"/>
              </w:rPr>
              <w:t>RAN4 can further discuss to mandate 256QAM for PUSCH for FR1 in future release.</w:t>
            </w:r>
          </w:p>
          <w:p w14:paraId="2558C831" w14:textId="19504394" w:rsidR="006C5FC0" w:rsidRPr="00D54EEE" w:rsidRDefault="006C5FC0" w:rsidP="00030831">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hint="eastAsia"/>
                <w:color w:val="000000" w:themeColor="text1"/>
                <w:kern w:val="0"/>
                <w:sz w:val="16"/>
                <w:szCs w:val="16"/>
                <w:lang w:val="en-GB"/>
              </w:rPr>
              <w:t>F</w:t>
            </w:r>
            <w:r w:rsidRPr="00A6001A">
              <w:rPr>
                <w:rFonts w:ascii="Arial" w:eastAsia="ＭＳ Ｐゴシック" w:hAnsi="Arial" w:cs="Arial"/>
                <w:color w:val="000000" w:themeColor="text1"/>
                <w:kern w:val="0"/>
                <w:sz w:val="16"/>
                <w:szCs w:val="16"/>
                <w:lang w:val="en-GB"/>
              </w:rPr>
              <w:t xml:space="preserve">or FR2, </w:t>
            </w:r>
            <w:r w:rsidR="00030831" w:rsidRPr="00A6001A">
              <w:rPr>
                <w:rFonts w:ascii="Arial" w:eastAsia="ＭＳ Ｐゴシック" w:hAnsi="Arial" w:cs="Arial"/>
                <w:color w:val="000000" w:themeColor="text1"/>
                <w:kern w:val="0"/>
                <w:sz w:val="16"/>
                <w:szCs w:val="16"/>
                <w:lang w:val="en-GB"/>
              </w:rPr>
              <w:t>RAN4 will continue to discuss whether to introduce the requirements.</w:t>
            </w:r>
          </w:p>
        </w:tc>
        <w:tc>
          <w:tcPr>
            <w:tcW w:w="209" w:type="pct"/>
            <w:shd w:val="clear" w:color="auto" w:fill="auto"/>
            <w:vAlign w:val="center"/>
          </w:tcPr>
          <w:p w14:paraId="5A04CC4D"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5758FD75" w14:textId="6AB6C975"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 for FR1</w:t>
            </w:r>
          </w:p>
          <w:p w14:paraId="0C00620D"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p w14:paraId="2969D7B6" w14:textId="05BE3975"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 for FR2</w:t>
            </w:r>
          </w:p>
        </w:tc>
        <w:tc>
          <w:tcPr>
            <w:tcW w:w="143" w:type="pct"/>
            <w:shd w:val="clear" w:color="auto" w:fill="auto"/>
            <w:noWrap/>
            <w:vAlign w:val="center"/>
          </w:tcPr>
          <w:p w14:paraId="5C8539E8"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102906CA" w14:textId="77777777" w:rsidTr="00F74FA0">
        <w:trPr>
          <w:trHeight w:val="622"/>
          <w:jc w:val="center"/>
        </w:trPr>
        <w:tc>
          <w:tcPr>
            <w:tcW w:w="221" w:type="pct"/>
            <w:vMerge/>
            <w:shd w:val="clear" w:color="auto" w:fill="auto"/>
            <w:vAlign w:val="center"/>
          </w:tcPr>
          <w:p w14:paraId="16A129E2"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3FD075FA" w14:textId="1E8ECABB" w:rsidR="00297AAC"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-6</w:t>
            </w:r>
          </w:p>
        </w:tc>
        <w:tc>
          <w:tcPr>
            <w:tcW w:w="407" w:type="pct"/>
            <w:shd w:val="clear" w:color="auto" w:fill="auto"/>
            <w:vAlign w:val="center"/>
          </w:tcPr>
          <w:p w14:paraId="3B4ADE7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PUSCH</w:t>
            </w:r>
          </w:p>
        </w:tc>
        <w:tc>
          <w:tcPr>
            <w:tcW w:w="431" w:type="pct"/>
            <w:shd w:val="clear" w:color="auto" w:fill="auto"/>
            <w:vAlign w:val="center"/>
          </w:tcPr>
          <w:p w14:paraId="037CAADF" w14:textId="0856162F" w:rsidR="00297AAC" w:rsidRPr="00A6001A" w:rsidRDefault="00297AAC"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pi/2-BPSK for PUSCH</w:t>
            </w:r>
          </w:p>
        </w:tc>
        <w:tc>
          <w:tcPr>
            <w:tcW w:w="248" w:type="pct"/>
            <w:shd w:val="clear" w:color="auto" w:fill="auto"/>
            <w:vAlign w:val="center"/>
          </w:tcPr>
          <w:p w14:paraId="60B3EE93"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71D454C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79C4DB76"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PUSCH is not possible</w:t>
            </w:r>
          </w:p>
        </w:tc>
        <w:tc>
          <w:tcPr>
            <w:tcW w:w="397" w:type="pct"/>
            <w:shd w:val="clear" w:color="auto" w:fill="auto"/>
            <w:vAlign w:val="center"/>
          </w:tcPr>
          <w:p w14:paraId="10242C3D"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56C1E910"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681700E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558A5B95"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7E84FC7" w14:textId="70856927"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define the same minimum requirements for pulse-shaped pi/2 BPSK and non pulse-shaped pi/2 BPSK for FR2.</w:t>
            </w:r>
          </w:p>
        </w:tc>
        <w:tc>
          <w:tcPr>
            <w:tcW w:w="209" w:type="pct"/>
            <w:shd w:val="clear" w:color="auto" w:fill="auto"/>
            <w:vAlign w:val="center"/>
          </w:tcPr>
          <w:p w14:paraId="6649474E"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5AA76C1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r w:rsidR="000F7488" w:rsidRPr="00A6001A">
              <w:rPr>
                <w:rFonts w:ascii="Arial" w:eastAsia="ＭＳ Ｐゴシック" w:hAnsi="Arial" w:cs="Arial" w:hint="eastAsia"/>
                <w:color w:val="000000" w:themeColor="text1"/>
                <w:kern w:val="0"/>
                <w:sz w:val="16"/>
                <w:szCs w:val="16"/>
              </w:rPr>
              <w:t xml:space="preserve"> for FR1</w:t>
            </w:r>
          </w:p>
          <w:p w14:paraId="24415627" w14:textId="25BFC3EA" w:rsidR="000F7488" w:rsidRPr="00A6001A" w:rsidRDefault="000F748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TBD for FR2</w:t>
            </w:r>
          </w:p>
        </w:tc>
        <w:tc>
          <w:tcPr>
            <w:tcW w:w="143" w:type="pct"/>
            <w:shd w:val="clear" w:color="auto" w:fill="auto"/>
            <w:noWrap/>
            <w:vAlign w:val="center"/>
          </w:tcPr>
          <w:p w14:paraId="7992CF5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63D83FA6" w14:textId="77777777" w:rsidTr="00F74FA0">
        <w:trPr>
          <w:trHeight w:val="622"/>
          <w:jc w:val="center"/>
        </w:trPr>
        <w:tc>
          <w:tcPr>
            <w:tcW w:w="221" w:type="pct"/>
            <w:vMerge/>
            <w:shd w:val="clear" w:color="auto" w:fill="auto"/>
            <w:vAlign w:val="center"/>
          </w:tcPr>
          <w:p w14:paraId="10F62045" w14:textId="63EA11F5"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D40A2F9" w14:textId="763D69E2" w:rsidR="00297AAC"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-7</w:t>
            </w:r>
          </w:p>
        </w:tc>
        <w:tc>
          <w:tcPr>
            <w:tcW w:w="407" w:type="pct"/>
            <w:shd w:val="clear" w:color="auto" w:fill="auto"/>
            <w:vAlign w:val="center"/>
          </w:tcPr>
          <w:p w14:paraId="43B9153B"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PUCCH format 3/4</w:t>
            </w:r>
          </w:p>
        </w:tc>
        <w:tc>
          <w:tcPr>
            <w:tcW w:w="431" w:type="pct"/>
            <w:shd w:val="clear" w:color="auto" w:fill="auto"/>
            <w:vAlign w:val="center"/>
          </w:tcPr>
          <w:p w14:paraId="2E704C0E"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pi/2-BPSK for PUCCH format 3/4</w:t>
            </w:r>
          </w:p>
        </w:tc>
        <w:tc>
          <w:tcPr>
            <w:tcW w:w="248" w:type="pct"/>
            <w:shd w:val="clear" w:color="auto" w:fill="auto"/>
          </w:tcPr>
          <w:p w14:paraId="252283D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38287EE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04998624"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PUCCH  format 3/4 is not possible</w:t>
            </w:r>
          </w:p>
        </w:tc>
        <w:tc>
          <w:tcPr>
            <w:tcW w:w="397" w:type="pct"/>
            <w:shd w:val="clear" w:color="auto" w:fill="auto"/>
            <w:vAlign w:val="center"/>
          </w:tcPr>
          <w:p w14:paraId="10BBD03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102FD69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1647A44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55757688"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1651113B" w14:textId="2CE5D833"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3F0EC56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48CBAEAA"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r w:rsidR="000F7488" w:rsidRPr="00A6001A">
              <w:rPr>
                <w:rFonts w:ascii="Arial" w:eastAsia="ＭＳ Ｐゴシック" w:hAnsi="Arial" w:cs="Arial" w:hint="eastAsia"/>
                <w:color w:val="000000" w:themeColor="text1"/>
                <w:kern w:val="0"/>
                <w:sz w:val="16"/>
                <w:szCs w:val="16"/>
              </w:rPr>
              <w:t xml:space="preserve"> for FR1</w:t>
            </w:r>
          </w:p>
          <w:p w14:paraId="34B7A00A" w14:textId="036A113F" w:rsidR="000F7488" w:rsidRPr="00A6001A" w:rsidRDefault="000F748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TBD for FR2</w:t>
            </w:r>
          </w:p>
        </w:tc>
        <w:tc>
          <w:tcPr>
            <w:tcW w:w="143" w:type="pct"/>
            <w:shd w:val="clear" w:color="auto" w:fill="auto"/>
            <w:noWrap/>
            <w:vAlign w:val="center"/>
          </w:tcPr>
          <w:p w14:paraId="03836C23"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3CDBD4B5" w14:textId="77777777" w:rsidTr="006B6534">
        <w:trPr>
          <w:trHeight w:val="622"/>
          <w:jc w:val="center"/>
        </w:trPr>
        <w:tc>
          <w:tcPr>
            <w:tcW w:w="221" w:type="pct"/>
            <w:vMerge/>
            <w:shd w:val="clear" w:color="auto" w:fill="auto"/>
            <w:vAlign w:val="center"/>
          </w:tcPr>
          <w:p w14:paraId="7A0EA156" w14:textId="48F8949C"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1E505EE0" w14:textId="12003CB1" w:rsidR="00AE4A17"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-8</w:t>
            </w:r>
          </w:p>
        </w:tc>
        <w:tc>
          <w:tcPr>
            <w:tcW w:w="407" w:type="pct"/>
            <w:shd w:val="clear" w:color="auto" w:fill="auto"/>
            <w:vAlign w:val="center"/>
          </w:tcPr>
          <w:p w14:paraId="0C5469F5"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BWP switching delay</w:t>
            </w:r>
          </w:p>
        </w:tc>
        <w:tc>
          <w:tcPr>
            <w:tcW w:w="431" w:type="pct"/>
            <w:shd w:val="clear" w:color="auto" w:fill="auto"/>
            <w:vAlign w:val="center"/>
          </w:tcPr>
          <w:p w14:paraId="1D71806C" w14:textId="1DF97B72"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xml:space="preserve">) </w:t>
            </w:r>
            <w:r w:rsidR="00656ED5" w:rsidRPr="00A6001A">
              <w:rPr>
                <w:rFonts w:ascii="Arial" w:eastAsia="ＭＳ Ｐゴシック" w:hAnsi="Arial" w:cs="Arial"/>
                <w:color w:val="000000" w:themeColor="text1"/>
                <w:kern w:val="0"/>
                <w:sz w:val="16"/>
                <w:szCs w:val="16"/>
              </w:rPr>
              <w:t>Support</w:t>
            </w:r>
            <w:r w:rsidR="00534D60" w:rsidRPr="00A6001A">
              <w:rPr>
                <w:rFonts w:ascii="Arial" w:eastAsia="ＭＳ Ｐゴシック" w:hAnsi="Arial" w:cs="Arial"/>
                <w:color w:val="000000" w:themeColor="text1"/>
                <w:kern w:val="0"/>
                <w:sz w:val="16"/>
                <w:szCs w:val="16"/>
              </w:rPr>
              <w:t xml:space="preserve"> </w:t>
            </w:r>
            <w:r w:rsidR="00555728" w:rsidRPr="00A6001A">
              <w:rPr>
                <w:rFonts w:ascii="Arial" w:eastAsia="ＭＳ Ｐゴシック" w:hAnsi="Arial" w:cs="Arial"/>
                <w:color w:val="000000" w:themeColor="text1"/>
                <w:kern w:val="0"/>
                <w:sz w:val="16"/>
                <w:szCs w:val="16"/>
              </w:rPr>
              <w:t>BWP switching delay</w:t>
            </w:r>
            <w:r w:rsidR="00656ED5" w:rsidRPr="00A6001A">
              <w:rPr>
                <w:rFonts w:ascii="Arial" w:eastAsia="ＭＳ Ｐゴシック" w:hAnsi="Arial" w:cs="Arial"/>
                <w:color w:val="000000" w:themeColor="text1"/>
                <w:kern w:val="0"/>
                <w:sz w:val="16"/>
                <w:szCs w:val="16"/>
              </w:rPr>
              <w:t xml:space="preserve"> specified in TS38.xxx</w:t>
            </w:r>
            <w:r w:rsidR="00555728" w:rsidRPr="00A6001A">
              <w:rPr>
                <w:rFonts w:ascii="Arial" w:eastAsia="ＭＳ Ｐゴシック" w:hAnsi="Arial" w:cs="Arial"/>
                <w:color w:val="000000" w:themeColor="text1"/>
                <w:kern w:val="0"/>
                <w:sz w:val="16"/>
                <w:szCs w:val="16"/>
              </w:rPr>
              <w:t>, candidate values</w:t>
            </w:r>
            <w:r w:rsidR="00656ED5" w:rsidRPr="00A6001A">
              <w:rPr>
                <w:rFonts w:ascii="Arial" w:eastAsia="ＭＳ Ｐゴシック" w:hAnsi="Arial" w:cs="Arial"/>
                <w:color w:val="000000" w:themeColor="text1"/>
                <w:kern w:val="0"/>
                <w:sz w:val="16"/>
                <w:szCs w:val="16"/>
              </w:rPr>
              <w:t xml:space="preserve"> set:</w:t>
            </w:r>
            <w:r w:rsidR="00555728" w:rsidRPr="00A6001A">
              <w:rPr>
                <w:rFonts w:ascii="Arial" w:eastAsia="ＭＳ Ｐゴシック" w:hAnsi="Arial" w:cs="Arial"/>
                <w:color w:val="000000" w:themeColor="text1"/>
                <w:kern w:val="0"/>
                <w:sz w:val="16"/>
                <w:szCs w:val="16"/>
              </w:rPr>
              <w:t xml:space="preserve"> {type1, type2}</w:t>
            </w:r>
          </w:p>
        </w:tc>
        <w:tc>
          <w:tcPr>
            <w:tcW w:w="248" w:type="pct"/>
            <w:shd w:val="clear" w:color="auto" w:fill="auto"/>
            <w:vAlign w:val="center"/>
          </w:tcPr>
          <w:p w14:paraId="26586D5A"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2967DF6D" w14:textId="5DCB021D" w:rsidR="00AE4A17" w:rsidRPr="00A6001A" w:rsidRDefault="004429BE"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10F32840" w14:textId="6EFF8FFF"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BWP switching delay</w:t>
            </w:r>
          </w:p>
        </w:tc>
        <w:tc>
          <w:tcPr>
            <w:tcW w:w="397" w:type="pct"/>
            <w:shd w:val="clear" w:color="auto" w:fill="auto"/>
            <w:vAlign w:val="center"/>
          </w:tcPr>
          <w:p w14:paraId="5B5BD5F2" w14:textId="43B767C8" w:rsidR="00AE4A17" w:rsidRPr="00A6001A" w:rsidRDefault="004429BE"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6D2B95AE" w14:textId="144F44F0" w:rsidR="00AE4A17" w:rsidRPr="00A6001A" w:rsidRDefault="004429BE"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3C1A1C36" w14:textId="437596A9" w:rsidR="00AE4A17" w:rsidRPr="00D54EEE" w:rsidRDefault="00030831"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50B921F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72450708" w14:textId="29284253" w:rsidR="00E47A4E" w:rsidRPr="00A6001A" w:rsidRDefault="00997FB1"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this feature, RAN4 also sent another LS (R4-1803283)</w:t>
            </w:r>
          </w:p>
          <w:p w14:paraId="6473E12E" w14:textId="15477AF7"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Network cannot configure the shorter delay for certain UE type</w:t>
            </w:r>
            <w:r w:rsidR="00534D60" w:rsidRPr="00A6001A">
              <w:rPr>
                <w:rFonts w:ascii="Arial" w:eastAsia="ＭＳ Ｐゴシック" w:hAnsi="Arial" w:cs="Arial"/>
                <w:color w:val="000000" w:themeColor="text1"/>
                <w:kern w:val="0"/>
                <w:sz w:val="16"/>
                <w:szCs w:val="16"/>
              </w:rPr>
              <w:t xml:space="preserve"> </w:t>
            </w:r>
          </w:p>
          <w:p w14:paraId="69585B6A" w14:textId="482C4A85" w:rsidR="00534D60" w:rsidRPr="00A6001A" w:rsidRDefault="00534D60"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may remove the capability signaling if RAN4 can agree single minimum delay for each scenario.</w:t>
            </w:r>
          </w:p>
        </w:tc>
        <w:tc>
          <w:tcPr>
            <w:tcW w:w="209" w:type="pct"/>
            <w:shd w:val="clear" w:color="auto" w:fill="auto"/>
            <w:vAlign w:val="center"/>
          </w:tcPr>
          <w:p w14:paraId="7DB7E02C"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1220030E"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tc>
        <w:tc>
          <w:tcPr>
            <w:tcW w:w="143" w:type="pct"/>
            <w:shd w:val="clear" w:color="auto" w:fill="auto"/>
            <w:noWrap/>
            <w:vAlign w:val="center"/>
          </w:tcPr>
          <w:p w14:paraId="7121E85B"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26C8486" w14:textId="77777777" w:rsidTr="006B6534">
        <w:trPr>
          <w:trHeight w:val="622"/>
          <w:jc w:val="center"/>
        </w:trPr>
        <w:tc>
          <w:tcPr>
            <w:tcW w:w="221" w:type="pct"/>
            <w:vMerge/>
            <w:shd w:val="clear" w:color="auto" w:fill="auto"/>
            <w:vAlign w:val="center"/>
          </w:tcPr>
          <w:p w14:paraId="587C021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2868FA22" w14:textId="69630814" w:rsidR="00AE4A17"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-9</w:t>
            </w:r>
          </w:p>
        </w:tc>
        <w:tc>
          <w:tcPr>
            <w:tcW w:w="407" w:type="pct"/>
            <w:shd w:val="clear" w:color="auto" w:fill="auto"/>
            <w:vAlign w:val="center"/>
          </w:tcPr>
          <w:p w14:paraId="5E50B2A8" w14:textId="248718AD"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1-symbol GP in unpaired spectrum</w:t>
            </w:r>
          </w:p>
        </w:tc>
        <w:tc>
          <w:tcPr>
            <w:tcW w:w="431" w:type="pct"/>
            <w:shd w:val="clear" w:color="auto" w:fill="auto"/>
            <w:vAlign w:val="center"/>
          </w:tcPr>
          <w:p w14:paraId="03ABD87F" w14:textId="6E8CA16C"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Slot formats with 1-symbol GP(s) for 120KHz SCS in unpaired spectrum</w:t>
            </w:r>
            <w:r w:rsidR="00555728" w:rsidRPr="00A6001A">
              <w:rPr>
                <w:rFonts w:ascii="Arial" w:eastAsia="ＭＳ Ｐゴシック" w:hAnsi="Arial" w:cs="Arial"/>
                <w:color w:val="000000" w:themeColor="text1"/>
                <w:kern w:val="0"/>
                <w:sz w:val="16"/>
                <w:szCs w:val="16"/>
              </w:rPr>
              <w:t xml:space="preserve"> in FR2</w:t>
            </w:r>
          </w:p>
          <w:p w14:paraId="58E2BBBC" w14:textId="4D1C8083" w:rsidR="004736EB" w:rsidRPr="00A6001A" w:rsidRDefault="004736EB"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 Slot formats with 1-symbol GP(s) for 60KHz SCS in unpaired spectrum in FR1</w:t>
            </w:r>
          </w:p>
        </w:tc>
        <w:tc>
          <w:tcPr>
            <w:tcW w:w="248" w:type="pct"/>
            <w:shd w:val="clear" w:color="auto" w:fill="auto"/>
            <w:vAlign w:val="center"/>
          </w:tcPr>
          <w:p w14:paraId="0D48F9EF"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43A9091C"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46CF555B" w14:textId="5DFB98F6" w:rsidR="00AE4A17" w:rsidRPr="00A6001A" w:rsidRDefault="00555728"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1 symbol GP in unpaired spectrum</w:t>
            </w:r>
          </w:p>
        </w:tc>
        <w:tc>
          <w:tcPr>
            <w:tcW w:w="397" w:type="pct"/>
            <w:shd w:val="clear" w:color="auto" w:fill="auto"/>
            <w:vAlign w:val="center"/>
          </w:tcPr>
          <w:p w14:paraId="1B0A6A43" w14:textId="7931C51B"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799B5CE2"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TDD</w:t>
            </w:r>
          </w:p>
        </w:tc>
        <w:tc>
          <w:tcPr>
            <w:tcW w:w="328" w:type="pct"/>
            <w:shd w:val="clear" w:color="auto" w:fill="auto"/>
            <w:noWrap/>
            <w:vAlign w:val="center"/>
          </w:tcPr>
          <w:p w14:paraId="5847546B" w14:textId="014E36A1" w:rsidR="00AE4A17" w:rsidRPr="00A6001A" w:rsidRDefault="0055572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437E72B3"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65031118" w14:textId="39F17045" w:rsidR="00AE4A17" w:rsidRPr="00A6001A" w:rsidRDefault="004736EB" w:rsidP="00AE4A17">
            <w:pPr>
              <w:widowControl/>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further discuss whether it is feasible to support this feature or not in Rel-15.</w:t>
            </w:r>
          </w:p>
        </w:tc>
        <w:tc>
          <w:tcPr>
            <w:tcW w:w="209" w:type="pct"/>
            <w:shd w:val="clear" w:color="auto" w:fill="auto"/>
            <w:vAlign w:val="center"/>
          </w:tcPr>
          <w:p w14:paraId="41B3BE47"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7978D99" w14:textId="2CCAF698" w:rsidR="00AE4A17" w:rsidRPr="00A6001A" w:rsidRDefault="00B3099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7C1FFE52"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bookmarkEnd w:id="0"/>
      <w:tr w:rsidR="006521BF" w:rsidRPr="006521BF" w14:paraId="2138DEAD" w14:textId="77777777" w:rsidTr="00846A7F">
        <w:trPr>
          <w:trHeight w:val="622"/>
          <w:jc w:val="center"/>
        </w:trPr>
        <w:tc>
          <w:tcPr>
            <w:tcW w:w="221" w:type="pct"/>
            <w:vMerge/>
            <w:shd w:val="clear" w:color="auto" w:fill="auto"/>
            <w:vAlign w:val="center"/>
          </w:tcPr>
          <w:p w14:paraId="3A853AD1"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242E2830" w14:textId="566C6B06" w:rsidR="00555728" w:rsidRPr="00A6001A" w:rsidRDefault="007F10DD" w:rsidP="00D54EEE">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-10</w:t>
            </w:r>
          </w:p>
        </w:tc>
        <w:tc>
          <w:tcPr>
            <w:tcW w:w="407" w:type="pct"/>
            <w:shd w:val="clear" w:color="auto" w:fill="auto"/>
            <w:vAlign w:val="center"/>
          </w:tcPr>
          <w:p w14:paraId="19C87F20" w14:textId="015DC224" w:rsidR="00555728" w:rsidRPr="00A6001A" w:rsidRDefault="00C21C5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Support of EN-DC with LTE-NR coexistence in UL sharing from UE perspective</w:t>
            </w:r>
          </w:p>
        </w:tc>
        <w:tc>
          <w:tcPr>
            <w:tcW w:w="431" w:type="pct"/>
            <w:shd w:val="clear" w:color="auto" w:fill="auto"/>
            <w:vAlign w:val="center"/>
          </w:tcPr>
          <w:p w14:paraId="3BC19F41" w14:textId="04ED90D6"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1) </w:t>
            </w:r>
            <w:r w:rsidR="00C21C54" w:rsidRPr="00A6001A">
              <w:rPr>
                <w:rFonts w:ascii="Arial" w:eastAsia="ＭＳ Ｐゴシック" w:hAnsi="Arial" w:cs="Arial"/>
                <w:color w:val="000000" w:themeColor="text1"/>
                <w:kern w:val="0"/>
                <w:sz w:val="16"/>
                <w:szCs w:val="16"/>
              </w:rPr>
              <w:t>Support of EN-DC with LTE-NR coexistence in UL sharing from UE perspective</w:t>
            </w:r>
          </w:p>
        </w:tc>
        <w:tc>
          <w:tcPr>
            <w:tcW w:w="248" w:type="pct"/>
            <w:shd w:val="clear" w:color="auto" w:fill="auto"/>
            <w:vAlign w:val="center"/>
          </w:tcPr>
          <w:p w14:paraId="0E075609"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4A7C4D71" w14:textId="40B79A0D"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1DB3CE68" w14:textId="28DA063C" w:rsidR="00555728" w:rsidRPr="00A6001A" w:rsidRDefault="00555728" w:rsidP="00C21C54">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w:t>
            </w:r>
            <w:r w:rsidR="00C21C54" w:rsidRPr="00A6001A">
              <w:rPr>
                <w:rFonts w:ascii="Arial" w:eastAsia="ＭＳ Ｐゴシック" w:hAnsi="Arial" w:cs="Arial"/>
                <w:color w:val="000000" w:themeColor="text1"/>
                <w:kern w:val="0"/>
                <w:sz w:val="16"/>
                <w:szCs w:val="16"/>
              </w:rPr>
              <w:t>support of EN-DC with LTE-NR coexistence in UL sharing from UE perspective</w:t>
            </w:r>
          </w:p>
        </w:tc>
        <w:tc>
          <w:tcPr>
            <w:tcW w:w="397" w:type="pct"/>
            <w:shd w:val="clear" w:color="auto" w:fill="auto"/>
            <w:vAlign w:val="center"/>
          </w:tcPr>
          <w:p w14:paraId="160223E8" w14:textId="24E04ACE" w:rsidR="00555728" w:rsidRPr="00A6001A" w:rsidRDefault="00231EBE" w:rsidP="00555728">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Type 3 (per band combination)</w:t>
            </w:r>
          </w:p>
        </w:tc>
        <w:tc>
          <w:tcPr>
            <w:tcW w:w="328" w:type="pct"/>
            <w:shd w:val="clear" w:color="auto" w:fill="auto"/>
            <w:vAlign w:val="center"/>
          </w:tcPr>
          <w:p w14:paraId="6B2830A1" w14:textId="10D2EA61" w:rsidR="00555728"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7FDE76E9" w14:textId="59E4E7DC" w:rsidR="00555728"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1484D48A"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46DA6A67" w14:textId="7FF84D47" w:rsidR="00555728" w:rsidRPr="00A6001A" w:rsidRDefault="00555728" w:rsidP="00555728">
            <w:pPr>
              <w:widowControl/>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4430DB11" w14:textId="42083555"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150F95D" w14:textId="2127AD69" w:rsidR="00555728" w:rsidRPr="00A6001A" w:rsidRDefault="006C5FC0"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O</w:t>
            </w:r>
            <w:r w:rsidRPr="00A6001A">
              <w:rPr>
                <w:rFonts w:ascii="Arial" w:eastAsia="ＭＳ Ｐゴシック" w:hAnsi="Arial" w:cs="Arial"/>
                <w:color w:val="000000" w:themeColor="text1"/>
                <w:kern w:val="0"/>
                <w:sz w:val="16"/>
                <w:szCs w:val="16"/>
              </w:rPr>
              <w:t>ptional</w:t>
            </w:r>
          </w:p>
        </w:tc>
        <w:tc>
          <w:tcPr>
            <w:tcW w:w="143" w:type="pct"/>
            <w:shd w:val="clear" w:color="auto" w:fill="auto"/>
            <w:noWrap/>
            <w:vAlign w:val="center"/>
          </w:tcPr>
          <w:p w14:paraId="3A7B24A0"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6D23FFE8" w14:textId="77777777" w:rsidTr="00846A7F">
        <w:trPr>
          <w:trHeight w:val="622"/>
          <w:jc w:val="center"/>
        </w:trPr>
        <w:tc>
          <w:tcPr>
            <w:tcW w:w="221" w:type="pct"/>
            <w:vMerge/>
            <w:shd w:val="clear" w:color="auto" w:fill="auto"/>
            <w:vAlign w:val="center"/>
          </w:tcPr>
          <w:p w14:paraId="482508E2"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FD297D9" w14:textId="258739B7" w:rsidR="00555728" w:rsidRPr="00A6001A" w:rsidRDefault="007F10DD" w:rsidP="00D54EEE">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-11</w:t>
            </w:r>
          </w:p>
        </w:tc>
        <w:tc>
          <w:tcPr>
            <w:tcW w:w="407" w:type="pct"/>
            <w:shd w:val="clear" w:color="auto" w:fill="auto"/>
            <w:vAlign w:val="center"/>
          </w:tcPr>
          <w:p w14:paraId="5D184030"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Switching time between LTE UL and NR UL for EN-DC with LTE-NR coexistence in UL sharing from UE perspective</w:t>
            </w:r>
          </w:p>
        </w:tc>
        <w:tc>
          <w:tcPr>
            <w:tcW w:w="431" w:type="pct"/>
            <w:shd w:val="clear" w:color="auto" w:fill="auto"/>
            <w:vAlign w:val="center"/>
          </w:tcPr>
          <w:p w14:paraId="5ABED793" w14:textId="77777777" w:rsidR="00A75D44" w:rsidRPr="00A6001A" w:rsidRDefault="00A75D44" w:rsidP="00A75D44">
            <w:pPr>
              <w:widowControl/>
              <w:adjustRightInd w:val="0"/>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rPr>
              <w:t xml:space="preserve">Support of switching type between LTE UL and NR UL for EN-DC with LTE-NR coexistence in UL sharing from UE perspective. </w:t>
            </w:r>
          </w:p>
          <w:p w14:paraId="66610D66" w14:textId="77777777" w:rsidR="00A75D44" w:rsidRPr="00A6001A" w:rsidRDefault="00A75D44" w:rsidP="00A75D44">
            <w:pPr>
              <w:widowControl/>
              <w:adjustRightInd w:val="0"/>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rPr>
              <w:t>Type 1: ~0us</w:t>
            </w:r>
          </w:p>
          <w:p w14:paraId="2DAFCD69" w14:textId="50177D2E" w:rsidR="00555728" w:rsidRPr="00A6001A" w:rsidRDefault="00A75D4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2: &lt;20us</w:t>
            </w:r>
          </w:p>
        </w:tc>
        <w:tc>
          <w:tcPr>
            <w:tcW w:w="248" w:type="pct"/>
            <w:shd w:val="clear" w:color="auto" w:fill="auto"/>
            <w:vAlign w:val="center"/>
          </w:tcPr>
          <w:p w14:paraId="4C67FD9A" w14:textId="42EC2CA8"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w:t>
            </w:r>
            <w:r w:rsidR="00E607B3">
              <w:rPr>
                <w:rFonts w:ascii="Arial" w:eastAsia="ＭＳ Ｐゴシック" w:hAnsi="Arial" w:cs="Arial"/>
                <w:color w:val="000000" w:themeColor="text1"/>
                <w:kern w:val="0"/>
                <w:sz w:val="16"/>
                <w:szCs w:val="16"/>
              </w:rPr>
              <w:t>0</w:t>
            </w:r>
            <w:bookmarkStart w:id="1" w:name="_GoBack"/>
            <w:bookmarkEnd w:id="1"/>
          </w:p>
        </w:tc>
        <w:tc>
          <w:tcPr>
            <w:tcW w:w="249" w:type="pct"/>
            <w:shd w:val="clear" w:color="auto" w:fill="auto"/>
            <w:vAlign w:val="center"/>
          </w:tcPr>
          <w:p w14:paraId="4C78C939"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50CC6619" w14:textId="77777777" w:rsidR="00555728" w:rsidRPr="00A6001A" w:rsidRDefault="00555728"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UL subcarrier alignment between LTE and NR for EN-DC with LTE-NR coexistence in UL</w:t>
            </w:r>
          </w:p>
        </w:tc>
        <w:tc>
          <w:tcPr>
            <w:tcW w:w="397" w:type="pct"/>
            <w:shd w:val="clear" w:color="auto" w:fill="auto"/>
            <w:vAlign w:val="center"/>
          </w:tcPr>
          <w:p w14:paraId="4C75B77B" w14:textId="1D713581" w:rsidR="00555728" w:rsidRPr="00A6001A" w:rsidRDefault="00231EBE" w:rsidP="00555728">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Type 3 (per band combination)</w:t>
            </w:r>
          </w:p>
        </w:tc>
        <w:tc>
          <w:tcPr>
            <w:tcW w:w="328" w:type="pct"/>
            <w:shd w:val="clear" w:color="auto" w:fill="auto"/>
            <w:vAlign w:val="center"/>
          </w:tcPr>
          <w:p w14:paraId="5B0CC0D3"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134E4203"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3C471B05"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005C12D7" w14:textId="77777777" w:rsidR="00A03C86" w:rsidRPr="00A6001A" w:rsidRDefault="00A03C86" w:rsidP="00A03C86">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This feature is the switching time between LTE UL and NR UL in the same carrier</w:t>
            </w:r>
          </w:p>
          <w:p w14:paraId="06017116" w14:textId="77777777" w:rsidR="00A03C86" w:rsidRPr="00A6001A" w:rsidRDefault="00A03C86" w:rsidP="00C21C54">
            <w:pPr>
              <w:widowControl/>
              <w:snapToGrid w:val="0"/>
              <w:rPr>
                <w:rFonts w:ascii="Arial" w:eastAsia="ＭＳ Ｐゴシック" w:hAnsi="Arial" w:cs="Arial"/>
                <w:color w:val="000000" w:themeColor="text1"/>
                <w:kern w:val="0"/>
                <w:sz w:val="16"/>
                <w:szCs w:val="16"/>
                <w:lang w:val="en-GB"/>
              </w:rPr>
            </w:pPr>
          </w:p>
          <w:p w14:paraId="281A2865" w14:textId="77777777" w:rsidR="00C21C54" w:rsidRPr="00A6001A" w:rsidRDefault="00C21C54" w:rsidP="00C21C54">
            <w:pPr>
              <w:widowControl/>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Per band combination signalling (Type 3)</w:t>
            </w:r>
          </w:p>
          <w:p w14:paraId="7C0F4226" w14:textId="77777777" w:rsidR="00A03C86" w:rsidRPr="00A6001A" w:rsidRDefault="00A03C86" w:rsidP="00C21C54">
            <w:pPr>
              <w:widowControl/>
              <w:snapToGrid w:val="0"/>
              <w:rPr>
                <w:rFonts w:ascii="Arial" w:eastAsia="ＭＳ Ｐゴシック" w:hAnsi="Arial" w:cs="Arial"/>
                <w:color w:val="000000" w:themeColor="text1"/>
                <w:kern w:val="0"/>
                <w:sz w:val="16"/>
                <w:szCs w:val="16"/>
                <w:lang w:val="en-GB"/>
              </w:rPr>
            </w:pPr>
          </w:p>
          <w:p w14:paraId="0E8C71BA" w14:textId="77777777" w:rsidR="00C21C54" w:rsidRPr="00A6001A" w:rsidRDefault="00C21C54" w:rsidP="00C21C54">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UE Capability signalling elements. </w:t>
            </w:r>
            <w:r w:rsidRPr="00A6001A">
              <w:rPr>
                <w:rFonts w:ascii="Arial" w:eastAsia="ＭＳ Ｐゴシック" w:hAnsi="Arial" w:cs="Arial"/>
                <w:color w:val="000000" w:themeColor="text1"/>
                <w:kern w:val="0"/>
                <w:sz w:val="16"/>
                <w:szCs w:val="16"/>
                <w:lang w:val="en-GB"/>
              </w:rPr>
              <w:br/>
              <w:t>1: ~0us switching type.</w:t>
            </w:r>
          </w:p>
          <w:p w14:paraId="3CF3A78A" w14:textId="77777777" w:rsidR="00C21C54" w:rsidRPr="00A6001A" w:rsidRDefault="00C21C54" w:rsidP="00C21C54">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2: &lt;20us switching type. </w:t>
            </w:r>
          </w:p>
          <w:p w14:paraId="0EE475EC" w14:textId="77777777" w:rsidR="00555728" w:rsidRPr="00A6001A" w:rsidRDefault="00555728" w:rsidP="00555728">
            <w:pPr>
              <w:widowControl/>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6D8C8FCF"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4475F76D" w14:textId="1B1E4538"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43" w:type="pct"/>
            <w:shd w:val="clear" w:color="auto" w:fill="auto"/>
            <w:noWrap/>
            <w:vAlign w:val="center"/>
          </w:tcPr>
          <w:p w14:paraId="7CA1FAEB"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20FF0C83" w14:textId="77777777" w:rsidTr="00846A7F">
        <w:trPr>
          <w:trHeight w:val="622"/>
          <w:jc w:val="center"/>
        </w:trPr>
        <w:tc>
          <w:tcPr>
            <w:tcW w:w="221" w:type="pct"/>
            <w:vMerge/>
            <w:shd w:val="clear" w:color="auto" w:fill="auto"/>
            <w:vAlign w:val="center"/>
          </w:tcPr>
          <w:p w14:paraId="720C83B5"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6525A3FF" w14:textId="50A458C2" w:rsidR="00555728" w:rsidRPr="00A6001A" w:rsidRDefault="007F10DD" w:rsidP="007F10DD">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-12</w:t>
            </w:r>
          </w:p>
        </w:tc>
        <w:tc>
          <w:tcPr>
            <w:tcW w:w="407" w:type="pct"/>
            <w:shd w:val="clear" w:color="auto" w:fill="auto"/>
            <w:vAlign w:val="center"/>
          </w:tcPr>
          <w:p w14:paraId="7011678B"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7.5kHz UL raster shift</w:t>
            </w:r>
          </w:p>
        </w:tc>
        <w:tc>
          <w:tcPr>
            <w:tcW w:w="431" w:type="pct"/>
            <w:shd w:val="clear" w:color="auto" w:fill="auto"/>
            <w:vAlign w:val="center"/>
          </w:tcPr>
          <w:p w14:paraId="66BE2DA3" w14:textId="77777777" w:rsidR="00555728" w:rsidRPr="00A6001A" w:rsidRDefault="00555728"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7.5kHz UL raster shift</w:t>
            </w:r>
          </w:p>
        </w:tc>
        <w:tc>
          <w:tcPr>
            <w:tcW w:w="248" w:type="pct"/>
            <w:shd w:val="clear" w:color="auto" w:fill="auto"/>
            <w:vAlign w:val="center"/>
          </w:tcPr>
          <w:p w14:paraId="28E9C705" w14:textId="5860674C" w:rsidR="00555728" w:rsidRPr="00A6001A" w:rsidRDefault="00555728" w:rsidP="00534D60">
            <w:pPr>
              <w:widowControl/>
              <w:adjustRightInd w:val="0"/>
              <w:snapToGrid w:val="0"/>
              <w:rPr>
                <w:rFonts w:ascii="Arial" w:eastAsia="ＭＳ Ｐゴシック" w:hAnsi="Arial" w:cs="Arial"/>
                <w:strike/>
                <w:color w:val="000000" w:themeColor="text1"/>
                <w:kern w:val="0"/>
                <w:sz w:val="16"/>
                <w:szCs w:val="16"/>
              </w:rPr>
            </w:pPr>
          </w:p>
        </w:tc>
        <w:tc>
          <w:tcPr>
            <w:tcW w:w="249" w:type="pct"/>
            <w:shd w:val="clear" w:color="auto" w:fill="auto"/>
            <w:vAlign w:val="center"/>
          </w:tcPr>
          <w:p w14:paraId="2B84C783"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1FE6A503" w14:textId="5940F94A" w:rsidR="00555728" w:rsidRPr="00A6001A" w:rsidRDefault="00656ED5"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7.5kHz UL raster shift</w:t>
            </w:r>
          </w:p>
        </w:tc>
        <w:tc>
          <w:tcPr>
            <w:tcW w:w="397" w:type="pct"/>
            <w:shd w:val="clear" w:color="auto" w:fill="auto"/>
            <w:vAlign w:val="center"/>
          </w:tcPr>
          <w:p w14:paraId="6E55354F" w14:textId="0567AA2D" w:rsidR="00555728" w:rsidRPr="00A6001A" w:rsidRDefault="00C21C5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N/A</w:t>
            </w:r>
          </w:p>
        </w:tc>
        <w:tc>
          <w:tcPr>
            <w:tcW w:w="328" w:type="pct"/>
            <w:shd w:val="clear" w:color="auto" w:fill="auto"/>
            <w:vAlign w:val="center"/>
          </w:tcPr>
          <w:p w14:paraId="55EB1401" w14:textId="70B539A6" w:rsidR="00555728" w:rsidRPr="00A6001A" w:rsidRDefault="00C21C5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N/A</w:t>
            </w:r>
          </w:p>
        </w:tc>
        <w:tc>
          <w:tcPr>
            <w:tcW w:w="328" w:type="pct"/>
            <w:shd w:val="clear" w:color="auto" w:fill="auto"/>
            <w:noWrap/>
            <w:vAlign w:val="center"/>
          </w:tcPr>
          <w:p w14:paraId="366B5164" w14:textId="388E9149" w:rsidR="00555728" w:rsidRPr="00A6001A" w:rsidRDefault="00231EBE" w:rsidP="00231EBE">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4E1E39CD"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789C4A75" w14:textId="670E7325" w:rsidR="00555728" w:rsidRPr="00A6001A" w:rsidRDefault="00555728" w:rsidP="00656ED5">
            <w:pPr>
              <w:widowControl/>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1EE1544E"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64AB0101" w14:textId="3D8CA6C5" w:rsidR="00555728"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Mandatory in the SUL bands with uplink sharing either from UE perspective or from network perspective</w:t>
            </w:r>
          </w:p>
          <w:p w14:paraId="6BA21074" w14:textId="435E1951" w:rsidR="00656ED5"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p>
          <w:p w14:paraId="343F3EF9" w14:textId="77777777" w:rsidR="005B2D9F" w:rsidRPr="00A6001A" w:rsidRDefault="005B2D9F" w:rsidP="005B2D9F">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7.5KHz raster shift as mandatory without capability signalling. 7.5kHz UL raster shift is mandatory in Bands n1, n2, n3, n5, n7, n8, n20, n28, n66. RAN4 </w:t>
            </w:r>
            <w:r w:rsidRPr="00A6001A">
              <w:rPr>
                <w:rFonts w:ascii="Arial" w:eastAsia="ＭＳ Ｐゴシック" w:hAnsi="Arial" w:cs="Arial"/>
                <w:color w:val="000000" w:themeColor="text1"/>
                <w:kern w:val="0"/>
                <w:sz w:val="16"/>
                <w:szCs w:val="16"/>
                <w:lang w:val="en-GB"/>
              </w:rPr>
              <w:lastRenderedPageBreak/>
              <w:t>can revisit the above bands in the future release. 7.5KHz raster shift is not mandatory for other LTE refarming band except the bands which were agreed to support 7.5kHz UL raster shift as mandatory</w:t>
            </w:r>
          </w:p>
          <w:p w14:paraId="4585ACB4" w14:textId="77777777" w:rsidR="005B2D9F" w:rsidRPr="00A6001A" w:rsidRDefault="005B2D9F" w:rsidP="00555728">
            <w:pPr>
              <w:widowControl/>
              <w:adjustRightInd w:val="0"/>
              <w:snapToGrid w:val="0"/>
              <w:jc w:val="left"/>
              <w:rPr>
                <w:rFonts w:ascii="Arial" w:eastAsia="ＭＳ Ｐゴシック" w:hAnsi="Arial" w:cs="Arial"/>
                <w:color w:val="000000" w:themeColor="text1"/>
                <w:kern w:val="0"/>
                <w:sz w:val="16"/>
                <w:szCs w:val="16"/>
                <w:lang w:val="en-GB"/>
              </w:rPr>
            </w:pPr>
          </w:p>
          <w:p w14:paraId="456BFA18" w14:textId="41F4E92C" w:rsidR="00656ED5" w:rsidRPr="00A6001A" w:rsidRDefault="00656ED5" w:rsidP="005B2D9F">
            <w:pPr>
              <w:widowControl/>
              <w:adjustRightInd w:val="0"/>
              <w:snapToGrid w:val="0"/>
              <w:jc w:val="left"/>
              <w:rPr>
                <w:rFonts w:ascii="Arial" w:eastAsia="ＭＳ Ｐゴシック" w:hAnsi="Arial" w:cs="Arial"/>
                <w:color w:val="000000" w:themeColor="text1"/>
                <w:kern w:val="0"/>
                <w:sz w:val="16"/>
                <w:szCs w:val="16"/>
              </w:rPr>
            </w:pPr>
          </w:p>
        </w:tc>
        <w:tc>
          <w:tcPr>
            <w:tcW w:w="143" w:type="pct"/>
            <w:shd w:val="clear" w:color="auto" w:fill="auto"/>
            <w:noWrap/>
            <w:vAlign w:val="center"/>
          </w:tcPr>
          <w:p w14:paraId="5A6648AD"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0E803E7F" w14:textId="77777777" w:rsidTr="00846A7F">
        <w:trPr>
          <w:trHeight w:val="622"/>
          <w:jc w:val="center"/>
        </w:trPr>
        <w:tc>
          <w:tcPr>
            <w:tcW w:w="221" w:type="pct"/>
            <w:vMerge w:val="restart"/>
            <w:shd w:val="clear" w:color="auto" w:fill="auto"/>
            <w:vAlign w:val="center"/>
          </w:tcPr>
          <w:p w14:paraId="62E5134D"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RF</w:t>
            </w:r>
          </w:p>
        </w:tc>
        <w:tc>
          <w:tcPr>
            <w:tcW w:w="175" w:type="pct"/>
            <w:shd w:val="clear" w:color="auto" w:fill="auto"/>
            <w:vAlign w:val="center"/>
          </w:tcPr>
          <w:p w14:paraId="09224A24"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-1</w:t>
            </w:r>
          </w:p>
        </w:tc>
        <w:tc>
          <w:tcPr>
            <w:tcW w:w="407" w:type="pct"/>
            <w:shd w:val="clear" w:color="auto" w:fill="auto"/>
            <w:vAlign w:val="center"/>
          </w:tcPr>
          <w:p w14:paraId="03830067" w14:textId="067AB28F"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Maximum channel bandwidth supported in each band for DL and UL separately and for each SCS that UE supports</w:t>
            </w:r>
            <w:r w:rsidR="006521BF" w:rsidRPr="00A6001A">
              <w:rPr>
                <w:rFonts w:ascii="Arial" w:eastAsia="ＭＳ Ｐゴシック" w:hAnsi="Arial" w:cs="Arial"/>
                <w:color w:val="000000" w:themeColor="text1"/>
                <w:kern w:val="0"/>
                <w:sz w:val="16"/>
                <w:szCs w:val="16"/>
              </w:rPr>
              <w:t xml:space="preserve"> within a </w:t>
            </w:r>
            <w:r w:rsidR="00A75D44" w:rsidRPr="00A6001A">
              <w:rPr>
                <w:rFonts w:ascii="Arial" w:eastAsia="ＭＳ Ｐゴシック" w:hAnsi="Arial" w:cs="Arial"/>
                <w:color w:val="000000" w:themeColor="text1"/>
                <w:kern w:val="0"/>
                <w:sz w:val="16"/>
                <w:szCs w:val="16"/>
              </w:rPr>
              <w:t xml:space="preserve">single </w:t>
            </w:r>
            <w:r w:rsidR="006521BF" w:rsidRPr="00A6001A">
              <w:rPr>
                <w:rFonts w:ascii="Arial" w:eastAsia="ＭＳ Ｐゴシック" w:hAnsi="Arial" w:cs="Arial"/>
                <w:color w:val="000000" w:themeColor="text1"/>
                <w:kern w:val="0"/>
                <w:sz w:val="16"/>
                <w:szCs w:val="16"/>
              </w:rPr>
              <w:t>CC</w:t>
            </w:r>
          </w:p>
        </w:tc>
        <w:tc>
          <w:tcPr>
            <w:tcW w:w="431" w:type="pct"/>
            <w:shd w:val="clear" w:color="auto" w:fill="auto"/>
            <w:vAlign w:val="center"/>
          </w:tcPr>
          <w:p w14:paraId="53B3212B"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FR1 channel bandwidths in TS38.101-1 Table 5.3.5-1</w:t>
            </w:r>
          </w:p>
          <w:p w14:paraId="1ED39D69" w14:textId="05CCE2BD"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 FR2 channel bandwidths in TS38.101-2 Table 5.3.5-1</w:t>
            </w:r>
          </w:p>
        </w:tc>
        <w:tc>
          <w:tcPr>
            <w:tcW w:w="248" w:type="pct"/>
            <w:shd w:val="clear" w:color="auto" w:fill="auto"/>
            <w:vAlign w:val="center"/>
          </w:tcPr>
          <w:p w14:paraId="374A952B"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43496C29"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72C73D0E"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FR1, all the bandwidths listed in TS38.101-1 v15.0.0 Table 5.3.5-1 for each band shall be mandatory with a single CC</w:t>
            </w:r>
          </w:p>
          <w:p w14:paraId="2E244D58" w14:textId="77777777" w:rsidR="00A03C86" w:rsidRPr="00A6001A" w:rsidRDefault="00A03C86" w:rsidP="00555728">
            <w:pPr>
              <w:widowControl/>
              <w:adjustRightInd w:val="0"/>
              <w:snapToGrid w:val="0"/>
              <w:rPr>
                <w:rFonts w:ascii="Arial" w:eastAsia="ＭＳ Ｐゴシック" w:hAnsi="Arial" w:cs="Arial"/>
                <w:color w:val="000000" w:themeColor="text1"/>
                <w:kern w:val="0"/>
                <w:sz w:val="16"/>
                <w:szCs w:val="16"/>
              </w:rPr>
            </w:pPr>
          </w:p>
          <w:p w14:paraId="607E2BF5"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FR2, UE does not support some UE channel bandwidths</w:t>
            </w:r>
          </w:p>
        </w:tc>
        <w:tc>
          <w:tcPr>
            <w:tcW w:w="397" w:type="pct"/>
            <w:shd w:val="clear" w:color="auto" w:fill="auto"/>
            <w:vAlign w:val="center"/>
          </w:tcPr>
          <w:p w14:paraId="0EDD6484" w14:textId="4BE73D20"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1</w:t>
            </w:r>
          </w:p>
        </w:tc>
        <w:tc>
          <w:tcPr>
            <w:tcW w:w="328" w:type="pct"/>
            <w:shd w:val="clear" w:color="auto" w:fill="auto"/>
            <w:vAlign w:val="center"/>
          </w:tcPr>
          <w:p w14:paraId="02D0A0C4" w14:textId="69C5860B"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18B4365A"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5495E88C"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13D8F82A"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capability signalling shall follow RP-172832 (Per-band capability signalling, separately for DL and UL and for each SCS)</w:t>
            </w:r>
          </w:p>
          <w:p w14:paraId="05B50D39"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p>
          <w:p w14:paraId="0DC8EC66"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FR1, all the bandwidths listed in TS38.101-1 v15.0.0 Table 5.3.5-1 for each band shall be mandatory with a single CC</w:t>
            </w:r>
          </w:p>
          <w:p w14:paraId="7021AA5E"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p>
          <w:p w14:paraId="15353C39" w14:textId="5691C385"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FR2, the set of mandatory CBW is FFS</w:t>
            </w:r>
          </w:p>
          <w:p w14:paraId="01C1A4C2" w14:textId="59B440B7" w:rsidR="009B502E" w:rsidRPr="00A6001A" w:rsidRDefault="009B502E" w:rsidP="00555728">
            <w:pPr>
              <w:widowControl/>
              <w:snapToGrid w:val="0"/>
              <w:jc w:val="left"/>
              <w:rPr>
                <w:rFonts w:ascii="Arial" w:eastAsia="ＭＳ Ｐゴシック" w:hAnsi="Arial" w:cs="Arial"/>
                <w:strike/>
                <w:color w:val="000000" w:themeColor="text1"/>
                <w:kern w:val="0"/>
                <w:sz w:val="16"/>
                <w:szCs w:val="16"/>
              </w:rPr>
            </w:pPr>
          </w:p>
        </w:tc>
        <w:tc>
          <w:tcPr>
            <w:tcW w:w="209" w:type="pct"/>
            <w:shd w:val="clear" w:color="auto" w:fill="auto"/>
            <w:vAlign w:val="center"/>
          </w:tcPr>
          <w:p w14:paraId="3648C217" w14:textId="7C8E18D8" w:rsidR="006521BF" w:rsidRPr="00A6001A" w:rsidRDefault="006521BF"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p w14:paraId="7CDA6916" w14:textId="1CE7BF2B"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293" w:type="pct"/>
            <w:shd w:val="clear" w:color="auto" w:fill="auto"/>
            <w:vAlign w:val="center"/>
          </w:tcPr>
          <w:p w14:paraId="6FE93700" w14:textId="1B14EFA4" w:rsidR="00F161D8" w:rsidRPr="00A6001A" w:rsidRDefault="00F161D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p w14:paraId="61FE5D30" w14:textId="019D89AD"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143" w:type="pct"/>
            <w:shd w:val="clear" w:color="auto" w:fill="auto"/>
            <w:noWrap/>
            <w:vAlign w:val="center"/>
          </w:tcPr>
          <w:p w14:paraId="7649F671"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E9AF650" w14:textId="77777777" w:rsidTr="00846A7F">
        <w:trPr>
          <w:trHeight w:val="622"/>
          <w:jc w:val="center"/>
        </w:trPr>
        <w:tc>
          <w:tcPr>
            <w:tcW w:w="221" w:type="pct"/>
            <w:vMerge/>
            <w:shd w:val="clear" w:color="auto" w:fill="auto"/>
            <w:vAlign w:val="center"/>
          </w:tcPr>
          <w:p w14:paraId="68EA41E9"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7DEF7530"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2-2</w:t>
            </w:r>
          </w:p>
        </w:tc>
        <w:tc>
          <w:tcPr>
            <w:tcW w:w="407" w:type="pct"/>
            <w:shd w:val="clear" w:color="auto" w:fill="auto"/>
            <w:vAlign w:val="center"/>
          </w:tcPr>
          <w:p w14:paraId="172D8C61" w14:textId="381DC458" w:rsidR="006521BF" w:rsidRPr="00A6001A" w:rsidRDefault="00A75D44"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lang w:val="en-GB"/>
              </w:rPr>
              <w:t>Simultaneous reception or transmission with same or  different numerologies in CA</w:t>
            </w:r>
          </w:p>
          <w:p w14:paraId="666FA1B4" w14:textId="13B7560B" w:rsidR="009B502E" w:rsidRPr="00A6001A" w:rsidRDefault="009B502E" w:rsidP="00555728">
            <w:pPr>
              <w:widowControl/>
              <w:adjustRightInd w:val="0"/>
              <w:snapToGrid w:val="0"/>
              <w:rPr>
                <w:rFonts w:ascii="Arial" w:eastAsia="ＭＳ Ｐゴシック" w:hAnsi="Arial" w:cs="Arial"/>
                <w:strike/>
                <w:color w:val="000000" w:themeColor="text1"/>
                <w:kern w:val="0"/>
                <w:sz w:val="16"/>
                <w:szCs w:val="16"/>
                <w:lang w:val="fr-FR"/>
              </w:rPr>
            </w:pPr>
          </w:p>
        </w:tc>
        <w:tc>
          <w:tcPr>
            <w:tcW w:w="431" w:type="pct"/>
            <w:shd w:val="clear" w:color="auto" w:fill="auto"/>
            <w:vAlign w:val="center"/>
          </w:tcPr>
          <w:p w14:paraId="5F7B956C" w14:textId="690243F3" w:rsidR="006521BF" w:rsidRPr="00A6001A" w:rsidRDefault="00A75D44" w:rsidP="00555728">
            <w:pPr>
              <w:widowControl/>
              <w:adjustRightInd w:val="0"/>
              <w:snapToGrid w:val="0"/>
              <w:rPr>
                <w:rFonts w:ascii="Arial" w:eastAsia="ＭＳ Ｐゴシック" w:hAnsi="Arial" w:cs="Arial"/>
                <w:strike/>
                <w:color w:val="000000" w:themeColor="text1"/>
                <w:kern w:val="0"/>
                <w:sz w:val="16"/>
                <w:szCs w:val="16"/>
                <w:lang w:val="fr-FR"/>
              </w:rPr>
            </w:pPr>
            <w:r w:rsidRPr="00A6001A">
              <w:rPr>
                <w:rFonts w:ascii="Arial" w:eastAsia="ＭＳ Ｐゴシック" w:hAnsi="Arial" w:cs="Arial"/>
                <w:color w:val="000000" w:themeColor="text1"/>
                <w:kern w:val="0"/>
                <w:sz w:val="16"/>
                <w:szCs w:val="16"/>
                <w:lang w:val="en-GB"/>
              </w:rPr>
              <w:t>1) Support of simultaneous reception or transmission with same or  different numerologies in CA</w:t>
            </w:r>
            <w:r w:rsidRPr="00A6001A" w:rsidDel="00A75D44">
              <w:rPr>
                <w:rFonts w:ascii="Arial" w:eastAsia="ＭＳ Ｐゴシック" w:hAnsi="Arial" w:cs="Arial"/>
                <w:color w:val="000000" w:themeColor="text1"/>
                <w:kern w:val="0"/>
                <w:sz w:val="16"/>
                <w:szCs w:val="16"/>
                <w:lang w:val="fr-FR"/>
              </w:rPr>
              <w:t xml:space="preserve"> </w:t>
            </w:r>
          </w:p>
          <w:p w14:paraId="639B6C8D" w14:textId="75C39B34" w:rsidR="009B502E" w:rsidRPr="00A6001A" w:rsidRDefault="009B502E" w:rsidP="00555728">
            <w:pPr>
              <w:widowControl/>
              <w:adjustRightInd w:val="0"/>
              <w:snapToGrid w:val="0"/>
              <w:rPr>
                <w:rFonts w:ascii="Arial" w:eastAsia="ＭＳ Ｐゴシック" w:hAnsi="Arial" w:cs="Arial"/>
                <w:strike/>
                <w:color w:val="000000" w:themeColor="text1"/>
                <w:kern w:val="0"/>
                <w:sz w:val="16"/>
                <w:szCs w:val="16"/>
              </w:rPr>
            </w:pPr>
          </w:p>
        </w:tc>
        <w:tc>
          <w:tcPr>
            <w:tcW w:w="248" w:type="pct"/>
            <w:shd w:val="clear" w:color="auto" w:fill="auto"/>
            <w:vAlign w:val="center"/>
          </w:tcPr>
          <w:p w14:paraId="5CA04838"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0BFF74DF" w14:textId="05E08466"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62335165" w14:textId="27878F0A" w:rsidR="009B502E" w:rsidRPr="00A6001A" w:rsidRDefault="009B502E" w:rsidP="00A03C86">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w:t>
            </w:r>
            <w:r w:rsidR="000B796A" w:rsidRPr="00A6001A">
              <w:rPr>
                <w:rFonts w:ascii="Arial" w:eastAsia="ＭＳ Ｐゴシック" w:hAnsi="Arial" w:cs="Arial"/>
                <w:color w:val="000000" w:themeColor="text1"/>
                <w:kern w:val="0"/>
                <w:sz w:val="16"/>
                <w:szCs w:val="16"/>
              </w:rPr>
              <w:t>support</w:t>
            </w:r>
            <w:r w:rsidR="00846A7F" w:rsidRPr="00A6001A">
              <w:rPr>
                <w:rFonts w:ascii="Arial" w:eastAsia="ＭＳ Ｐゴシック" w:hAnsi="Arial" w:cs="Arial"/>
                <w:color w:val="000000" w:themeColor="text1"/>
                <w:kern w:val="0"/>
                <w:sz w:val="16"/>
                <w:szCs w:val="16"/>
              </w:rPr>
              <w:t xml:space="preserve"> simultaneous reception or transmission with same or different numerologies in CA</w:t>
            </w:r>
          </w:p>
        </w:tc>
        <w:tc>
          <w:tcPr>
            <w:tcW w:w="397" w:type="pct"/>
            <w:shd w:val="clear" w:color="auto" w:fill="auto"/>
            <w:vAlign w:val="center"/>
          </w:tcPr>
          <w:p w14:paraId="34601A2A" w14:textId="4F9A53C3" w:rsidR="006521BF" w:rsidRPr="00A6001A" w:rsidRDefault="001C6B6C"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lang w:val="en-GB"/>
              </w:rPr>
              <w:t>Type 3</w:t>
            </w:r>
          </w:p>
          <w:p w14:paraId="65C68D58" w14:textId="5F962F3D"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328" w:type="pct"/>
            <w:shd w:val="clear" w:color="auto" w:fill="auto"/>
            <w:vAlign w:val="center"/>
          </w:tcPr>
          <w:p w14:paraId="01855AE5" w14:textId="3FBFA362" w:rsidR="006521BF" w:rsidRPr="00A6001A" w:rsidRDefault="006521BF"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p w14:paraId="0D295A44" w14:textId="38303293"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328" w:type="pct"/>
            <w:shd w:val="clear" w:color="auto" w:fill="auto"/>
            <w:noWrap/>
            <w:vAlign w:val="center"/>
          </w:tcPr>
          <w:p w14:paraId="10B7EBFB" w14:textId="77777777" w:rsidR="006521BF" w:rsidRPr="00A6001A" w:rsidRDefault="006521BF" w:rsidP="006521BF">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p w14:paraId="06788865" w14:textId="213765BF" w:rsidR="009B502E" w:rsidRPr="00A6001A" w:rsidRDefault="009B502E" w:rsidP="006521BF">
            <w:pPr>
              <w:widowControl/>
              <w:adjustRightInd w:val="0"/>
              <w:snapToGrid w:val="0"/>
              <w:jc w:val="left"/>
              <w:rPr>
                <w:rFonts w:ascii="Arial" w:eastAsia="ＭＳ Ｐゴシック" w:hAnsi="Arial" w:cs="Arial"/>
                <w:color w:val="000000" w:themeColor="text1"/>
                <w:kern w:val="0"/>
                <w:sz w:val="16"/>
                <w:szCs w:val="16"/>
              </w:rPr>
            </w:pPr>
          </w:p>
        </w:tc>
        <w:tc>
          <w:tcPr>
            <w:tcW w:w="328" w:type="pct"/>
            <w:shd w:val="clear" w:color="auto" w:fill="auto"/>
            <w:vAlign w:val="center"/>
          </w:tcPr>
          <w:p w14:paraId="59154C2D"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56384710"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From RAN4 perspective UE shall be able to signal the supported SCS per CC for each band combination</w:t>
            </w:r>
          </w:p>
          <w:p w14:paraId="480B0315"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p>
          <w:p w14:paraId="69822766"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Same numerology for intra-band NR CA including both continuous and non-continuous is mandatory support for Rel15</w:t>
            </w:r>
          </w:p>
          <w:p w14:paraId="412E6E0A"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p>
          <w:p w14:paraId="2D404462"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The capability of supporting SCS within the single carrier in the CA configuration will be signalled separately, i.e., there is no need to mandatory UE to support mixed numerologies in CA case</w:t>
            </w:r>
          </w:p>
          <w:p w14:paraId="158C39C6" w14:textId="77777777" w:rsidR="001C6B6C" w:rsidRPr="00A6001A" w:rsidRDefault="001C6B6C" w:rsidP="00555728">
            <w:pPr>
              <w:widowControl/>
              <w:snapToGrid w:val="0"/>
              <w:jc w:val="left"/>
              <w:rPr>
                <w:rFonts w:ascii="Arial" w:eastAsia="ＭＳ Ｐゴシック" w:hAnsi="Arial" w:cs="Arial"/>
                <w:color w:val="000000" w:themeColor="text1"/>
                <w:kern w:val="0"/>
                <w:sz w:val="16"/>
                <w:szCs w:val="16"/>
                <w:lang w:val="en-GB"/>
              </w:rPr>
            </w:pPr>
          </w:p>
          <w:p w14:paraId="2118511C" w14:textId="3384F21A" w:rsidR="009B502E" w:rsidRPr="00A6001A" w:rsidRDefault="009B502E" w:rsidP="00555728">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If</w:t>
            </w:r>
            <w:r w:rsidRPr="00A6001A">
              <w:rPr>
                <w:rFonts w:ascii="Arial" w:eastAsia="ＭＳ Ｐゴシック" w:hAnsi="Arial" w:cs="Arial" w:hint="eastAsia"/>
                <w:color w:val="000000" w:themeColor="text1"/>
                <w:kern w:val="0"/>
                <w:sz w:val="16"/>
                <w:szCs w:val="16"/>
              </w:rPr>
              <w:t xml:space="preserve"> a UE supports inter-band NR CA including both FR1 band(s) and FR2 band(s), the UE shall support </w:t>
            </w:r>
            <w:r w:rsidRPr="00A6001A">
              <w:rPr>
                <w:rFonts w:ascii="Arial" w:eastAsia="ＭＳ Ｐゴシック" w:hAnsi="Arial" w:cs="Arial"/>
                <w:color w:val="000000" w:themeColor="text1"/>
                <w:kern w:val="0"/>
                <w:sz w:val="16"/>
                <w:szCs w:val="16"/>
              </w:rPr>
              <w:t xml:space="preserve">two </w:t>
            </w:r>
            <w:r w:rsidRPr="00A6001A">
              <w:rPr>
                <w:rFonts w:ascii="Arial" w:eastAsia="ＭＳ Ｐゴシック" w:hAnsi="Arial" w:cs="Arial" w:hint="eastAsia"/>
                <w:color w:val="000000" w:themeColor="text1"/>
                <w:kern w:val="0"/>
                <w:sz w:val="16"/>
                <w:szCs w:val="16"/>
              </w:rPr>
              <w:t xml:space="preserve">mixed numerologies between FR1 band(s) and FR2 band(s) in DL and UL with or without capability </w:t>
            </w:r>
            <w:r w:rsidRPr="00A6001A">
              <w:rPr>
                <w:rFonts w:ascii="Arial" w:eastAsia="ＭＳ Ｐゴシック" w:hAnsi="Arial" w:cs="Arial"/>
                <w:color w:val="000000" w:themeColor="text1"/>
                <w:kern w:val="0"/>
                <w:sz w:val="16"/>
                <w:szCs w:val="16"/>
              </w:rPr>
              <w:t>signaling</w:t>
            </w:r>
          </w:p>
        </w:tc>
        <w:tc>
          <w:tcPr>
            <w:tcW w:w="209" w:type="pct"/>
            <w:shd w:val="clear" w:color="auto" w:fill="auto"/>
            <w:vAlign w:val="center"/>
          </w:tcPr>
          <w:p w14:paraId="3CEC7531"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5658A05B"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 xml:space="preserve">BD </w:t>
            </w:r>
          </w:p>
        </w:tc>
        <w:tc>
          <w:tcPr>
            <w:tcW w:w="143" w:type="pct"/>
            <w:shd w:val="clear" w:color="auto" w:fill="auto"/>
            <w:noWrap/>
            <w:vAlign w:val="center"/>
          </w:tcPr>
          <w:p w14:paraId="210CAECF"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18487D5" w14:textId="77777777" w:rsidTr="00846A7F">
        <w:trPr>
          <w:trHeight w:val="622"/>
          <w:jc w:val="center"/>
        </w:trPr>
        <w:tc>
          <w:tcPr>
            <w:tcW w:w="221" w:type="pct"/>
            <w:vMerge/>
            <w:shd w:val="clear" w:color="auto" w:fill="auto"/>
            <w:vAlign w:val="center"/>
          </w:tcPr>
          <w:p w14:paraId="19E86755"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03D0DC8F"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2-3</w:t>
            </w:r>
          </w:p>
        </w:tc>
        <w:tc>
          <w:tcPr>
            <w:tcW w:w="407" w:type="pct"/>
            <w:shd w:val="clear" w:color="auto" w:fill="auto"/>
          </w:tcPr>
          <w:p w14:paraId="7EAA01A8" w14:textId="363A8A31"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 xml:space="preserve">Non-contiguous intra-band CA frequency </w:t>
            </w:r>
            <w:r w:rsidR="001C6B6C" w:rsidRPr="00A6001A">
              <w:rPr>
                <w:rFonts w:ascii="Arial" w:eastAsia="ＭＳ Ｐゴシック" w:hAnsi="Arial" w:cs="Arial"/>
                <w:color w:val="000000" w:themeColor="text1"/>
                <w:kern w:val="0"/>
                <w:sz w:val="16"/>
                <w:szCs w:val="16"/>
                <w:lang w:val="en-GB"/>
              </w:rPr>
              <w:t>separation class for FR2</w:t>
            </w:r>
          </w:p>
        </w:tc>
        <w:tc>
          <w:tcPr>
            <w:tcW w:w="431" w:type="pct"/>
            <w:shd w:val="clear" w:color="auto" w:fill="auto"/>
            <w:vAlign w:val="center"/>
          </w:tcPr>
          <w:p w14:paraId="178FDC28" w14:textId="7ED4592E" w:rsidR="00030831" w:rsidRPr="00A6001A" w:rsidRDefault="004D1DA2"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xml:space="preserve">) </w:t>
            </w:r>
            <w:r w:rsidR="001C6B6C" w:rsidRPr="00A6001A">
              <w:rPr>
                <w:rFonts w:ascii="Arial" w:eastAsia="ＭＳ Ｐゴシック" w:hAnsi="Arial" w:cs="Arial"/>
                <w:color w:val="000000" w:themeColor="text1"/>
                <w:kern w:val="0"/>
                <w:sz w:val="16"/>
                <w:szCs w:val="16"/>
              </w:rPr>
              <w:t>Support of f</w:t>
            </w:r>
            <w:r w:rsidRPr="00A6001A">
              <w:rPr>
                <w:rFonts w:ascii="Arial" w:eastAsia="ＭＳ Ｐゴシック" w:hAnsi="Arial" w:cs="Arial"/>
                <w:color w:val="000000" w:themeColor="text1"/>
                <w:kern w:val="0"/>
                <w:sz w:val="16"/>
                <w:szCs w:val="16"/>
              </w:rPr>
              <w:t xml:space="preserve">requency separation classes to handle the total frequency span for DL </w:t>
            </w:r>
            <w:r w:rsidR="001C6B6C" w:rsidRPr="00A6001A">
              <w:rPr>
                <w:rFonts w:ascii="Arial" w:eastAsia="ＭＳ Ｐゴシック" w:hAnsi="Arial" w:cs="Arial"/>
                <w:color w:val="000000" w:themeColor="text1"/>
                <w:kern w:val="0"/>
                <w:sz w:val="16"/>
                <w:szCs w:val="16"/>
              </w:rPr>
              <w:t>for intra-band non-contiguous CA</w:t>
            </w:r>
          </w:p>
          <w:p w14:paraId="5B0E9493" w14:textId="336E42AE" w:rsidR="009B502E" w:rsidRPr="00A6001A" w:rsidRDefault="00030831"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2) </w:t>
            </w:r>
            <w:r w:rsidR="001C6B6C" w:rsidRPr="00A6001A">
              <w:rPr>
                <w:rFonts w:ascii="Arial" w:eastAsia="ＭＳ Ｐゴシック" w:hAnsi="Arial" w:cs="Arial"/>
                <w:color w:val="000000" w:themeColor="text1"/>
                <w:kern w:val="0"/>
                <w:sz w:val="16"/>
                <w:szCs w:val="16"/>
              </w:rPr>
              <w:t>Support of f</w:t>
            </w:r>
            <w:r w:rsidRPr="00A6001A">
              <w:rPr>
                <w:rFonts w:ascii="Arial" w:eastAsia="ＭＳ Ｐゴシック" w:hAnsi="Arial" w:cs="Arial"/>
                <w:color w:val="000000" w:themeColor="text1"/>
                <w:kern w:val="0"/>
                <w:sz w:val="16"/>
                <w:szCs w:val="16"/>
              </w:rPr>
              <w:t xml:space="preserve">requency separation classes to handle the total frequency span for </w:t>
            </w:r>
            <w:r w:rsidR="004D1DA2" w:rsidRPr="00A6001A">
              <w:rPr>
                <w:rFonts w:ascii="Arial" w:eastAsia="ＭＳ Ｐゴシック" w:hAnsi="Arial" w:cs="Arial"/>
                <w:color w:val="000000" w:themeColor="text1"/>
                <w:kern w:val="0"/>
                <w:sz w:val="16"/>
                <w:szCs w:val="16"/>
              </w:rPr>
              <w:t>UL</w:t>
            </w:r>
            <w:r w:rsidR="001C6B6C" w:rsidRPr="00A6001A">
              <w:rPr>
                <w:rFonts w:ascii="Arial" w:eastAsia="ＭＳ Ｐゴシック" w:hAnsi="Arial" w:cs="Arial"/>
                <w:color w:val="000000" w:themeColor="text1"/>
                <w:kern w:val="0"/>
                <w:sz w:val="16"/>
                <w:szCs w:val="16"/>
              </w:rPr>
              <w:t xml:space="preserve"> for intra-band non-contiguous CA</w:t>
            </w:r>
          </w:p>
        </w:tc>
        <w:tc>
          <w:tcPr>
            <w:tcW w:w="248" w:type="pct"/>
            <w:shd w:val="clear" w:color="auto" w:fill="auto"/>
            <w:vAlign w:val="center"/>
          </w:tcPr>
          <w:p w14:paraId="59669FB2"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510956C4" w14:textId="65A8C9B0"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6E5274A4" w14:textId="0275DD15" w:rsidR="009B502E" w:rsidRPr="00A6001A" w:rsidRDefault="009B502E"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non-contiguous intra-band CA</w:t>
            </w:r>
            <w:r w:rsidR="00A03C86" w:rsidRPr="00A6001A">
              <w:rPr>
                <w:rFonts w:ascii="Arial" w:eastAsia="ＭＳ Ｐゴシック" w:hAnsi="Arial" w:cs="Arial"/>
                <w:color w:val="000000" w:themeColor="text1"/>
                <w:kern w:val="0"/>
                <w:sz w:val="16"/>
                <w:szCs w:val="16"/>
              </w:rPr>
              <w:t xml:space="preserve"> for FR2</w:t>
            </w:r>
            <w:r w:rsidRPr="00A6001A">
              <w:rPr>
                <w:rFonts w:ascii="Arial" w:eastAsia="ＭＳ Ｐゴシック" w:hAnsi="Arial" w:cs="Arial"/>
                <w:color w:val="000000" w:themeColor="text1"/>
                <w:kern w:val="0"/>
                <w:sz w:val="16"/>
                <w:szCs w:val="16"/>
              </w:rPr>
              <w:t xml:space="preserve"> </w:t>
            </w:r>
          </w:p>
        </w:tc>
        <w:tc>
          <w:tcPr>
            <w:tcW w:w="397" w:type="pct"/>
            <w:shd w:val="clear" w:color="auto" w:fill="auto"/>
            <w:vAlign w:val="center"/>
          </w:tcPr>
          <w:p w14:paraId="6C51B6CE" w14:textId="453D0221" w:rsidR="009B502E" w:rsidRPr="00A6001A" w:rsidRDefault="004D1DA2"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1</w:t>
            </w:r>
          </w:p>
        </w:tc>
        <w:tc>
          <w:tcPr>
            <w:tcW w:w="328" w:type="pct"/>
            <w:shd w:val="clear" w:color="auto" w:fill="auto"/>
            <w:vAlign w:val="center"/>
          </w:tcPr>
          <w:p w14:paraId="15DEE729" w14:textId="1B4127DE"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2356E025" w14:textId="37D7B0C9"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A</w:t>
            </w:r>
            <w:r w:rsidRPr="00A6001A">
              <w:rPr>
                <w:rFonts w:ascii="Arial" w:eastAsia="ＭＳ Ｐゴシック" w:hAnsi="Arial" w:cs="Arial"/>
                <w:color w:val="000000" w:themeColor="text1"/>
                <w:kern w:val="0"/>
                <w:sz w:val="16"/>
                <w:szCs w:val="16"/>
              </w:rPr>
              <w:t>pplicable only to FR2</w:t>
            </w:r>
          </w:p>
        </w:tc>
        <w:tc>
          <w:tcPr>
            <w:tcW w:w="328" w:type="pct"/>
            <w:shd w:val="clear" w:color="auto" w:fill="auto"/>
            <w:vAlign w:val="center"/>
          </w:tcPr>
          <w:p w14:paraId="56E1B385"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0F6750BD" w14:textId="2800E88D" w:rsidR="009B502E" w:rsidRPr="00A6001A" w:rsidRDefault="009B502E" w:rsidP="00555728">
            <w:pPr>
              <w:widowControl/>
              <w:snapToGrid w:val="0"/>
              <w:jc w:val="left"/>
              <w:rPr>
                <w:rFonts w:ascii="Arial" w:eastAsia="ＭＳ Ｐゴシック" w:hAnsi="Arial" w:cs="Arial"/>
                <w:strike/>
                <w:color w:val="000000" w:themeColor="text1"/>
                <w:kern w:val="0"/>
                <w:sz w:val="16"/>
                <w:szCs w:val="16"/>
              </w:rPr>
            </w:pPr>
          </w:p>
          <w:p w14:paraId="0991188A" w14:textId="3170327C"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UE signals the supported Frequency separation classes with per band granularity (Type 1) based on R4-1803363</w:t>
            </w:r>
          </w:p>
          <w:p w14:paraId="2DE4831A" w14:textId="77777777" w:rsidR="003B6734" w:rsidRPr="00A6001A" w:rsidRDefault="003B6734" w:rsidP="001C6B6C">
            <w:pPr>
              <w:widowControl/>
              <w:snapToGrid w:val="0"/>
              <w:jc w:val="left"/>
              <w:rPr>
                <w:rFonts w:ascii="Arial" w:eastAsia="ＭＳ Ｐゴシック" w:hAnsi="Arial" w:cs="Arial"/>
                <w:color w:val="000000" w:themeColor="text1"/>
                <w:kern w:val="0"/>
                <w:sz w:val="16"/>
                <w:szCs w:val="16"/>
                <w:lang w:val="en-GB"/>
              </w:rPr>
            </w:pPr>
          </w:p>
          <w:p w14:paraId="1E670A40"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Separate Frequency separation classes can be signalled for DL and UL</w:t>
            </w:r>
          </w:p>
          <w:p w14:paraId="2BB0EB7B" w14:textId="315E4477" w:rsidR="001C6B6C" w:rsidRPr="00A6001A" w:rsidRDefault="001C6B6C" w:rsidP="00555728">
            <w:pPr>
              <w:widowControl/>
              <w:snapToGrid w:val="0"/>
              <w:jc w:val="left"/>
              <w:rPr>
                <w:rFonts w:ascii="Arial" w:eastAsia="ＭＳ Ｐゴシック" w:hAnsi="Arial" w:cs="Arial"/>
                <w:strike/>
                <w:color w:val="000000" w:themeColor="text1"/>
                <w:kern w:val="0"/>
                <w:sz w:val="16"/>
                <w:szCs w:val="16"/>
              </w:rPr>
            </w:pPr>
          </w:p>
        </w:tc>
        <w:tc>
          <w:tcPr>
            <w:tcW w:w="209" w:type="pct"/>
            <w:shd w:val="clear" w:color="auto" w:fill="auto"/>
            <w:vAlign w:val="center"/>
          </w:tcPr>
          <w:p w14:paraId="3D469252"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576815F3"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 xml:space="preserve">BD </w:t>
            </w:r>
          </w:p>
        </w:tc>
        <w:tc>
          <w:tcPr>
            <w:tcW w:w="143" w:type="pct"/>
            <w:shd w:val="clear" w:color="auto" w:fill="auto"/>
            <w:noWrap/>
            <w:vAlign w:val="center"/>
          </w:tcPr>
          <w:p w14:paraId="4F1EF407"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4529866A" w14:textId="77777777" w:rsidTr="00846A7F">
        <w:trPr>
          <w:trHeight w:val="622"/>
          <w:jc w:val="center"/>
        </w:trPr>
        <w:tc>
          <w:tcPr>
            <w:tcW w:w="221" w:type="pct"/>
            <w:vMerge/>
            <w:shd w:val="clear" w:color="auto" w:fill="auto"/>
            <w:vAlign w:val="center"/>
          </w:tcPr>
          <w:p w14:paraId="045BE7AD"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54D37D89"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2-4</w:t>
            </w:r>
          </w:p>
        </w:tc>
        <w:tc>
          <w:tcPr>
            <w:tcW w:w="407" w:type="pct"/>
            <w:shd w:val="clear" w:color="auto" w:fill="auto"/>
            <w:vAlign w:val="center"/>
          </w:tcPr>
          <w:p w14:paraId="6D1A1C28" w14:textId="041CE957" w:rsidR="009B502E" w:rsidRPr="00A6001A" w:rsidRDefault="009B502E" w:rsidP="00A03C86">
            <w:pPr>
              <w:widowControl/>
              <w:adjustRightInd w:val="0"/>
              <w:snapToGrid w:val="0"/>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Simultaneous reception and transmission for</w:t>
            </w:r>
            <w:r w:rsidR="001C6B6C" w:rsidRPr="00A6001A">
              <w:rPr>
                <w:rFonts w:ascii="Arial" w:eastAsia="ＭＳ Ｐゴシック" w:hAnsi="Arial" w:cs="Arial"/>
                <w:color w:val="000000" w:themeColor="text1"/>
                <w:kern w:val="0"/>
                <w:sz w:val="16"/>
                <w:szCs w:val="16"/>
              </w:rPr>
              <w:t xml:space="preserve"> inter-band </w:t>
            </w:r>
            <w:r w:rsidRPr="00A6001A">
              <w:rPr>
                <w:rFonts w:ascii="Arial" w:eastAsia="ＭＳ Ｐゴシック" w:hAnsi="Arial" w:cs="Arial"/>
                <w:color w:val="000000" w:themeColor="text1"/>
                <w:kern w:val="0"/>
                <w:sz w:val="16"/>
                <w:szCs w:val="16"/>
              </w:rPr>
              <w:t>EN-DC (TDD-TDD or TDD-FDD)</w:t>
            </w:r>
          </w:p>
        </w:tc>
        <w:tc>
          <w:tcPr>
            <w:tcW w:w="431" w:type="pct"/>
            <w:shd w:val="clear" w:color="auto" w:fill="auto"/>
            <w:vAlign w:val="center"/>
          </w:tcPr>
          <w:p w14:paraId="1DB726EA" w14:textId="010F8848" w:rsidR="009B502E" w:rsidRPr="00A6001A" w:rsidRDefault="009B502E" w:rsidP="005B2D9F">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1) Simultaneous reception and transmission for </w:t>
            </w:r>
            <w:r w:rsidR="001C6B6C" w:rsidRPr="00A6001A">
              <w:rPr>
                <w:rFonts w:ascii="Arial" w:eastAsia="ＭＳ Ｐゴシック" w:hAnsi="Arial" w:cs="Arial"/>
                <w:color w:val="000000" w:themeColor="text1"/>
                <w:kern w:val="0"/>
                <w:sz w:val="16"/>
                <w:szCs w:val="16"/>
              </w:rPr>
              <w:t xml:space="preserve">inter-band </w:t>
            </w:r>
            <w:r w:rsidRPr="00A6001A">
              <w:rPr>
                <w:rFonts w:ascii="Arial" w:eastAsia="ＭＳ Ｐゴシック" w:hAnsi="Arial" w:cs="Arial"/>
                <w:color w:val="000000" w:themeColor="text1"/>
                <w:kern w:val="0"/>
                <w:sz w:val="16"/>
                <w:szCs w:val="16"/>
              </w:rPr>
              <w:t>EN-DC (TDD-TDD or TDD-FDD)</w:t>
            </w:r>
          </w:p>
        </w:tc>
        <w:tc>
          <w:tcPr>
            <w:tcW w:w="248" w:type="pct"/>
            <w:shd w:val="clear" w:color="auto" w:fill="auto"/>
            <w:vAlign w:val="center"/>
          </w:tcPr>
          <w:p w14:paraId="165CA691"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249" w:type="pct"/>
            <w:shd w:val="clear" w:color="auto" w:fill="auto"/>
            <w:vAlign w:val="center"/>
          </w:tcPr>
          <w:p w14:paraId="7B6ECE0E"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64E3F6EE" w14:textId="362A7FB8" w:rsidR="009B502E" w:rsidRPr="00A6001A" w:rsidRDefault="009B502E" w:rsidP="005B2D9F">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simultaneous reception and transmission for</w:t>
            </w:r>
            <w:r w:rsidR="001C6B6C" w:rsidRPr="00A6001A">
              <w:rPr>
                <w:rFonts w:ascii="Arial" w:eastAsia="ＭＳ Ｐゴシック" w:hAnsi="Arial" w:cs="Arial"/>
                <w:color w:val="000000" w:themeColor="text1"/>
                <w:kern w:val="0"/>
                <w:sz w:val="16"/>
                <w:szCs w:val="16"/>
              </w:rPr>
              <w:t xml:space="preserve"> inter-band</w:t>
            </w:r>
            <w:r w:rsidRPr="00A6001A">
              <w:rPr>
                <w:rFonts w:ascii="Arial" w:eastAsia="ＭＳ Ｐゴシック" w:hAnsi="Arial" w:cs="Arial"/>
                <w:color w:val="000000" w:themeColor="text1"/>
                <w:kern w:val="0"/>
                <w:sz w:val="16"/>
                <w:szCs w:val="16"/>
              </w:rPr>
              <w:t xml:space="preserve"> EN-DC (TDD-TDD or TDD-FDD)</w:t>
            </w:r>
          </w:p>
        </w:tc>
        <w:tc>
          <w:tcPr>
            <w:tcW w:w="397" w:type="pct"/>
            <w:shd w:val="clear" w:color="auto" w:fill="auto"/>
            <w:vAlign w:val="center"/>
          </w:tcPr>
          <w:p w14:paraId="3EBC20B2" w14:textId="3C3748DC" w:rsidR="009B502E" w:rsidRPr="00A6001A" w:rsidRDefault="001C6B6C"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3 (</w:t>
            </w:r>
            <w:r w:rsidR="009B502E" w:rsidRPr="00A6001A">
              <w:rPr>
                <w:rFonts w:ascii="Arial" w:eastAsia="ＭＳ Ｐゴシック" w:hAnsi="Arial" w:cs="Arial"/>
                <w:color w:val="000000" w:themeColor="text1"/>
                <w:kern w:val="0"/>
                <w:sz w:val="16"/>
                <w:szCs w:val="16"/>
              </w:rPr>
              <w:t>Per band combination</w:t>
            </w:r>
            <w:r w:rsidRPr="00A6001A">
              <w:rPr>
                <w:rFonts w:ascii="Arial" w:eastAsia="ＭＳ Ｐゴシック" w:hAnsi="Arial" w:cs="Arial"/>
                <w:color w:val="000000" w:themeColor="text1"/>
                <w:kern w:val="0"/>
                <w:sz w:val="16"/>
                <w:szCs w:val="16"/>
              </w:rPr>
              <w:t>)</w:t>
            </w:r>
          </w:p>
        </w:tc>
        <w:tc>
          <w:tcPr>
            <w:tcW w:w="328" w:type="pct"/>
            <w:shd w:val="clear" w:color="auto" w:fill="auto"/>
            <w:vAlign w:val="center"/>
          </w:tcPr>
          <w:p w14:paraId="523F169E"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59538FF3" w14:textId="77E8ACE9"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75C65456"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773" w:type="pct"/>
            <w:shd w:val="clear" w:color="auto" w:fill="auto"/>
            <w:vAlign w:val="center"/>
          </w:tcPr>
          <w:p w14:paraId="7B331275" w14:textId="77777777" w:rsidR="00542040" w:rsidRPr="00A6001A" w:rsidRDefault="00542040" w:rsidP="00542040">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Further discuss in RAN4 86bis whether to mandate this feature </w:t>
            </w:r>
          </w:p>
          <w:p w14:paraId="59CE4AC9" w14:textId="7FC672E7" w:rsidR="009B502E" w:rsidRPr="00A6001A" w:rsidRDefault="009B502E" w:rsidP="00542040">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Whether to mandating this feature in certain band combinations will be FFS.</w:t>
            </w:r>
          </w:p>
        </w:tc>
        <w:tc>
          <w:tcPr>
            <w:tcW w:w="209" w:type="pct"/>
            <w:shd w:val="clear" w:color="auto" w:fill="auto"/>
            <w:vAlign w:val="center"/>
          </w:tcPr>
          <w:p w14:paraId="5A17EE44"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631C7A19"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5684F14A"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71508162" w14:textId="77777777" w:rsidTr="00846A7F">
        <w:trPr>
          <w:trHeight w:val="622"/>
          <w:jc w:val="center"/>
        </w:trPr>
        <w:tc>
          <w:tcPr>
            <w:tcW w:w="221" w:type="pct"/>
            <w:vMerge/>
            <w:shd w:val="clear" w:color="auto" w:fill="auto"/>
            <w:vAlign w:val="center"/>
          </w:tcPr>
          <w:p w14:paraId="6844C59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315CC0C4" w14:textId="7AC9091E"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w:t>
            </w:r>
          </w:p>
        </w:tc>
        <w:tc>
          <w:tcPr>
            <w:tcW w:w="407" w:type="pct"/>
            <w:shd w:val="clear" w:color="auto" w:fill="auto"/>
            <w:vAlign w:val="center"/>
          </w:tcPr>
          <w:p w14:paraId="4E5BFEA9" w14:textId="1772947B"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Simultaneous reception and transmission for inter</w:t>
            </w:r>
            <w:r w:rsidR="00030831" w:rsidRPr="00A6001A">
              <w:rPr>
                <w:rFonts w:ascii="Arial" w:eastAsia="ＭＳ Ｐゴシック" w:hAnsi="Arial" w:cs="Arial"/>
                <w:color w:val="000000" w:themeColor="text1"/>
                <w:kern w:val="0"/>
                <w:sz w:val="16"/>
                <w:szCs w:val="16"/>
              </w:rPr>
              <w:t xml:space="preserve"> band</w:t>
            </w:r>
            <w:r w:rsidRPr="00A6001A">
              <w:rPr>
                <w:rFonts w:ascii="Arial" w:eastAsia="ＭＳ Ｐゴシック" w:hAnsi="Arial" w:cs="Arial"/>
                <w:color w:val="000000" w:themeColor="text1"/>
                <w:kern w:val="0"/>
                <w:sz w:val="16"/>
                <w:szCs w:val="16"/>
              </w:rPr>
              <w:t xml:space="preserve"> CA (TDD-TDD or TDD-FDD)</w:t>
            </w:r>
          </w:p>
        </w:tc>
        <w:tc>
          <w:tcPr>
            <w:tcW w:w="431" w:type="pct"/>
            <w:shd w:val="clear" w:color="auto" w:fill="auto"/>
            <w:vAlign w:val="center"/>
          </w:tcPr>
          <w:p w14:paraId="3A4582F8" w14:textId="4A524B1E"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1) Simultaneous reception and transmission for inter </w:t>
            </w:r>
            <w:r w:rsidR="00030831" w:rsidRPr="00A6001A">
              <w:rPr>
                <w:rFonts w:ascii="Arial" w:eastAsia="ＭＳ Ｐゴシック" w:hAnsi="Arial" w:cs="Arial"/>
                <w:color w:val="000000" w:themeColor="text1"/>
                <w:kern w:val="0"/>
                <w:sz w:val="16"/>
                <w:szCs w:val="16"/>
              </w:rPr>
              <w:t xml:space="preserve">band </w:t>
            </w:r>
            <w:r w:rsidRPr="00A6001A">
              <w:rPr>
                <w:rFonts w:ascii="Arial" w:eastAsia="ＭＳ Ｐゴシック" w:hAnsi="Arial" w:cs="Arial"/>
                <w:color w:val="000000" w:themeColor="text1"/>
                <w:kern w:val="0"/>
                <w:sz w:val="16"/>
                <w:szCs w:val="16"/>
              </w:rPr>
              <w:t>CA (TDD-TDD or TDD-FDD)</w:t>
            </w:r>
          </w:p>
        </w:tc>
        <w:tc>
          <w:tcPr>
            <w:tcW w:w="248" w:type="pct"/>
            <w:shd w:val="clear" w:color="auto" w:fill="auto"/>
            <w:vAlign w:val="center"/>
          </w:tcPr>
          <w:p w14:paraId="17BE3B50" w14:textId="2DC7F16E"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249" w:type="pct"/>
            <w:shd w:val="clear" w:color="auto" w:fill="auto"/>
            <w:vAlign w:val="center"/>
          </w:tcPr>
          <w:p w14:paraId="77F63005" w14:textId="6A85CCD8"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3A9D265B" w14:textId="2FCC9038"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simultaneous reception and transmission for inter</w:t>
            </w:r>
            <w:r w:rsidR="00542040" w:rsidRPr="00A6001A">
              <w:rPr>
                <w:rFonts w:ascii="Arial" w:eastAsia="ＭＳ Ｐゴシック" w:hAnsi="Arial" w:cs="Arial"/>
                <w:color w:val="000000" w:themeColor="text1"/>
                <w:kern w:val="0"/>
                <w:sz w:val="16"/>
                <w:szCs w:val="16"/>
              </w:rPr>
              <w:t xml:space="preserve"> band</w:t>
            </w:r>
            <w:r w:rsidRPr="00A6001A">
              <w:rPr>
                <w:rFonts w:ascii="Arial" w:eastAsia="ＭＳ Ｐゴシック" w:hAnsi="Arial" w:cs="Arial"/>
                <w:color w:val="000000" w:themeColor="text1"/>
                <w:kern w:val="0"/>
                <w:sz w:val="16"/>
                <w:szCs w:val="16"/>
              </w:rPr>
              <w:t xml:space="preserve"> CA (TDD-TDD or TDD-FDD)</w:t>
            </w:r>
          </w:p>
        </w:tc>
        <w:tc>
          <w:tcPr>
            <w:tcW w:w="397" w:type="pct"/>
            <w:shd w:val="clear" w:color="auto" w:fill="auto"/>
            <w:vAlign w:val="center"/>
          </w:tcPr>
          <w:p w14:paraId="39D53252" w14:textId="49F93D46" w:rsidR="004D1DA2" w:rsidRPr="00A6001A" w:rsidRDefault="001C6B6C"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3 (</w:t>
            </w:r>
            <w:r w:rsidR="004D1DA2" w:rsidRPr="00A6001A">
              <w:rPr>
                <w:rFonts w:ascii="Arial" w:eastAsia="ＭＳ Ｐゴシック" w:hAnsi="Arial" w:cs="Arial"/>
                <w:color w:val="000000" w:themeColor="text1"/>
                <w:kern w:val="0"/>
                <w:sz w:val="16"/>
                <w:szCs w:val="16"/>
              </w:rPr>
              <w:t>Per band combination</w:t>
            </w:r>
            <w:r w:rsidRPr="00A6001A">
              <w:rPr>
                <w:rFonts w:ascii="Arial" w:eastAsia="ＭＳ Ｐゴシック" w:hAnsi="Arial" w:cs="Arial"/>
                <w:color w:val="000000" w:themeColor="text1"/>
                <w:kern w:val="0"/>
                <w:sz w:val="16"/>
                <w:szCs w:val="16"/>
              </w:rPr>
              <w:t>)</w:t>
            </w:r>
          </w:p>
        </w:tc>
        <w:tc>
          <w:tcPr>
            <w:tcW w:w="328" w:type="pct"/>
            <w:shd w:val="clear" w:color="auto" w:fill="auto"/>
            <w:vAlign w:val="center"/>
          </w:tcPr>
          <w:p w14:paraId="42F855A5" w14:textId="489A0631"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4BFA7D52" w14:textId="57EC73F2"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63A69F95" w14:textId="2528E534"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773" w:type="pct"/>
            <w:shd w:val="clear" w:color="auto" w:fill="auto"/>
            <w:vAlign w:val="center"/>
          </w:tcPr>
          <w:p w14:paraId="3CEC1BE4" w14:textId="48F6E041" w:rsidR="00542040" w:rsidRPr="00A6001A" w:rsidRDefault="00542040"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Further discuss in RAN4 86bis whether to mandate this feature</w:t>
            </w:r>
          </w:p>
          <w:p w14:paraId="0A450D72" w14:textId="777E2205" w:rsidR="004D1DA2" w:rsidRPr="00A6001A" w:rsidRDefault="004D1DA2"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Whether to mandating this feature in certain band combinations will be FFS.</w:t>
            </w:r>
          </w:p>
        </w:tc>
        <w:tc>
          <w:tcPr>
            <w:tcW w:w="209" w:type="pct"/>
            <w:shd w:val="clear" w:color="auto" w:fill="auto"/>
            <w:vAlign w:val="center"/>
          </w:tcPr>
          <w:p w14:paraId="16217AA0" w14:textId="3A7820C1"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1D6A060C" w14:textId="2D8D5C96"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0776BD8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44F52C05" w14:textId="77777777" w:rsidTr="00846A7F">
        <w:trPr>
          <w:trHeight w:val="622"/>
          <w:jc w:val="center"/>
        </w:trPr>
        <w:tc>
          <w:tcPr>
            <w:tcW w:w="221" w:type="pct"/>
            <w:vMerge/>
            <w:shd w:val="clear" w:color="auto" w:fill="auto"/>
            <w:vAlign w:val="center"/>
          </w:tcPr>
          <w:p w14:paraId="651664E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7BB07AC3" w14:textId="79A56698" w:rsidR="00542040" w:rsidRPr="00A6001A" w:rsidRDefault="0054204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-6</w:t>
            </w:r>
          </w:p>
          <w:p w14:paraId="2728D372" w14:textId="03070948" w:rsidR="004D1DA2" w:rsidRPr="00A6001A" w:rsidRDefault="004D1DA2" w:rsidP="004D1DA2">
            <w:pPr>
              <w:widowControl/>
              <w:adjustRightInd w:val="0"/>
              <w:snapToGrid w:val="0"/>
              <w:rPr>
                <w:rFonts w:ascii="Arial" w:eastAsia="ＭＳ Ｐゴシック" w:hAnsi="Arial" w:cs="Arial"/>
                <w:strike/>
                <w:color w:val="000000" w:themeColor="text1"/>
                <w:kern w:val="0"/>
                <w:sz w:val="16"/>
                <w:szCs w:val="16"/>
              </w:rPr>
            </w:pPr>
          </w:p>
        </w:tc>
        <w:tc>
          <w:tcPr>
            <w:tcW w:w="407" w:type="pct"/>
            <w:shd w:val="clear" w:color="auto" w:fill="auto"/>
          </w:tcPr>
          <w:p w14:paraId="64448FBC" w14:textId="45E62CCF" w:rsidR="004D1DA2" w:rsidRPr="00A6001A" w:rsidRDefault="004D1DA2" w:rsidP="001C6B6C">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 xml:space="preserve">Asynchronous FDD-FDD intra-band </w:t>
            </w:r>
            <w:r w:rsidR="001C6B6C" w:rsidRPr="00A6001A">
              <w:rPr>
                <w:rFonts w:ascii="Arial" w:eastAsia="ＭＳ Ｐゴシック" w:hAnsi="Arial" w:cs="Arial"/>
                <w:color w:val="000000" w:themeColor="text1"/>
                <w:kern w:val="0"/>
                <w:sz w:val="16"/>
                <w:szCs w:val="16"/>
              </w:rPr>
              <w:t>EN-DC</w:t>
            </w:r>
            <w:r w:rsidRPr="00A6001A">
              <w:rPr>
                <w:rFonts w:ascii="Arial" w:eastAsia="ＭＳ Ｐゴシック" w:hAnsi="Arial" w:cs="Arial"/>
                <w:color w:val="000000" w:themeColor="text1"/>
                <w:kern w:val="0"/>
                <w:sz w:val="16"/>
                <w:szCs w:val="16"/>
              </w:rPr>
              <w:t xml:space="preserve"> DC</w:t>
            </w:r>
          </w:p>
        </w:tc>
        <w:tc>
          <w:tcPr>
            <w:tcW w:w="431" w:type="pct"/>
            <w:shd w:val="clear" w:color="auto" w:fill="auto"/>
            <w:vAlign w:val="center"/>
          </w:tcPr>
          <w:p w14:paraId="354AF88A" w14:textId="0FB2A22C" w:rsidR="004D1DA2" w:rsidRPr="00A6001A" w:rsidRDefault="004D1DA2"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Asynchronous FDD-FDD intra-band </w:t>
            </w:r>
            <w:r w:rsidR="001C6B6C" w:rsidRPr="00A6001A">
              <w:rPr>
                <w:rFonts w:ascii="Arial" w:eastAsia="ＭＳ Ｐゴシック" w:hAnsi="Arial" w:cs="Arial"/>
                <w:color w:val="000000" w:themeColor="text1"/>
                <w:kern w:val="0"/>
                <w:sz w:val="16"/>
                <w:szCs w:val="16"/>
              </w:rPr>
              <w:t>EN-</w:t>
            </w:r>
            <w:r w:rsidRPr="00A6001A">
              <w:rPr>
                <w:rFonts w:ascii="Arial" w:eastAsia="ＭＳ Ｐゴシック" w:hAnsi="Arial" w:cs="Arial"/>
                <w:color w:val="000000" w:themeColor="text1"/>
                <w:kern w:val="0"/>
                <w:sz w:val="16"/>
                <w:szCs w:val="16"/>
              </w:rPr>
              <w:t>DC</w:t>
            </w:r>
          </w:p>
        </w:tc>
        <w:tc>
          <w:tcPr>
            <w:tcW w:w="248" w:type="pct"/>
            <w:shd w:val="clear" w:color="auto" w:fill="auto"/>
            <w:vAlign w:val="center"/>
          </w:tcPr>
          <w:p w14:paraId="182D866D"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258AB13B" w14:textId="724655D5"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54BDEFA9" w14:textId="2939D789" w:rsidR="004D1DA2" w:rsidRPr="00A6001A" w:rsidRDefault="004D1DA2"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support asynchronous FDD-FDD intra-band </w:t>
            </w:r>
            <w:r w:rsidR="001C6B6C" w:rsidRPr="00A6001A">
              <w:rPr>
                <w:rFonts w:ascii="Arial" w:eastAsia="ＭＳ Ｐゴシック" w:hAnsi="Arial" w:cs="Arial"/>
                <w:color w:val="000000" w:themeColor="text1"/>
                <w:kern w:val="0"/>
                <w:sz w:val="16"/>
                <w:szCs w:val="16"/>
              </w:rPr>
              <w:t>EN-DC</w:t>
            </w:r>
          </w:p>
        </w:tc>
        <w:tc>
          <w:tcPr>
            <w:tcW w:w="397" w:type="pct"/>
            <w:shd w:val="clear" w:color="auto" w:fill="auto"/>
            <w:vAlign w:val="center"/>
          </w:tcPr>
          <w:p w14:paraId="15A00E53" w14:textId="109E1D70" w:rsidR="004D1DA2" w:rsidRPr="00A6001A" w:rsidRDefault="003B6734"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Type 3 (Per band combination)</w:t>
            </w:r>
          </w:p>
        </w:tc>
        <w:tc>
          <w:tcPr>
            <w:tcW w:w="328" w:type="pct"/>
            <w:shd w:val="clear" w:color="auto" w:fill="auto"/>
            <w:vAlign w:val="center"/>
          </w:tcPr>
          <w:p w14:paraId="38523728"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FDD</w:t>
            </w:r>
          </w:p>
        </w:tc>
        <w:tc>
          <w:tcPr>
            <w:tcW w:w="328" w:type="pct"/>
            <w:shd w:val="clear" w:color="auto" w:fill="auto"/>
            <w:noWrap/>
            <w:vAlign w:val="center"/>
          </w:tcPr>
          <w:p w14:paraId="451ACB6E"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2FFB02E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4BAACD0E" w14:textId="3A40DD30" w:rsidR="004D1DA2" w:rsidRPr="00A6001A" w:rsidRDefault="004D1DA2" w:rsidP="004D1DA2">
            <w:pPr>
              <w:widowControl/>
              <w:snapToGrid w:val="0"/>
              <w:rPr>
                <w:rFonts w:ascii="Arial" w:eastAsia="ＭＳ Ｐゴシック" w:hAnsi="Arial" w:cs="Arial"/>
                <w:strike/>
                <w:color w:val="000000" w:themeColor="text1"/>
                <w:kern w:val="0"/>
                <w:sz w:val="16"/>
                <w:szCs w:val="16"/>
              </w:rPr>
            </w:pPr>
          </w:p>
        </w:tc>
        <w:tc>
          <w:tcPr>
            <w:tcW w:w="209" w:type="pct"/>
            <w:shd w:val="clear" w:color="auto" w:fill="auto"/>
            <w:vAlign w:val="center"/>
          </w:tcPr>
          <w:p w14:paraId="72895EF6"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1B0CEB2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O</w:t>
            </w:r>
            <w:r w:rsidRPr="00A6001A">
              <w:rPr>
                <w:rFonts w:ascii="Arial" w:eastAsia="ＭＳ Ｐゴシック" w:hAnsi="Arial" w:cs="Arial"/>
                <w:color w:val="000000" w:themeColor="text1"/>
                <w:kern w:val="0"/>
                <w:sz w:val="16"/>
                <w:szCs w:val="16"/>
              </w:rPr>
              <w:t>ptional</w:t>
            </w:r>
          </w:p>
        </w:tc>
        <w:tc>
          <w:tcPr>
            <w:tcW w:w="143" w:type="pct"/>
            <w:shd w:val="clear" w:color="auto" w:fill="auto"/>
            <w:noWrap/>
            <w:vAlign w:val="center"/>
          </w:tcPr>
          <w:p w14:paraId="59A5B3F2"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4AD23BAC" w14:textId="77777777" w:rsidTr="00846A7F">
        <w:trPr>
          <w:trHeight w:val="622"/>
          <w:jc w:val="center"/>
        </w:trPr>
        <w:tc>
          <w:tcPr>
            <w:tcW w:w="221" w:type="pct"/>
            <w:vMerge/>
            <w:shd w:val="clear" w:color="auto" w:fill="auto"/>
            <w:vAlign w:val="center"/>
          </w:tcPr>
          <w:p w14:paraId="0CA6A53E"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701E04CD" w14:textId="01892F47" w:rsidR="004D1DA2" w:rsidRPr="00A6001A" w:rsidRDefault="00542040" w:rsidP="004D1DA2">
            <w:pPr>
              <w:widowControl/>
              <w:adjustRightInd w:val="0"/>
              <w:snapToGrid w:val="0"/>
              <w:rPr>
                <w:rFonts w:ascii="Arial" w:eastAsia="ＭＳ Ｐゴシック" w:hAnsi="Arial" w:cs="Arial"/>
                <w:strike/>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-7</w:t>
            </w:r>
          </w:p>
        </w:tc>
        <w:tc>
          <w:tcPr>
            <w:tcW w:w="407" w:type="pct"/>
            <w:shd w:val="clear" w:color="auto" w:fill="auto"/>
            <w:vAlign w:val="center"/>
          </w:tcPr>
          <w:p w14:paraId="4AAB1F0A" w14:textId="41097F0F" w:rsidR="004D1DA2" w:rsidRPr="00A6001A" w:rsidRDefault="00542040" w:rsidP="003B6734">
            <w:pPr>
              <w:widowControl/>
              <w:adjustRightInd w:val="0"/>
              <w:snapToGrid w:val="0"/>
              <w:jc w:val="left"/>
              <w:rPr>
                <w:rFonts w:ascii="Arial" w:eastAsia="ＭＳ Ｐゴシック" w:hAnsi="Arial" w:cs="Arial"/>
                <w:strike/>
                <w:color w:val="000000" w:themeColor="text1"/>
                <w:kern w:val="0"/>
                <w:sz w:val="16"/>
                <w:szCs w:val="16"/>
                <w:lang w:val="fr-FR"/>
              </w:rPr>
            </w:pPr>
            <w:r w:rsidRPr="00A6001A">
              <w:rPr>
                <w:rFonts w:ascii="Arial" w:eastAsia="ＭＳ Ｐゴシック" w:hAnsi="Arial" w:cs="Arial"/>
                <w:color w:val="000000" w:themeColor="text1"/>
                <w:kern w:val="0"/>
                <w:sz w:val="16"/>
                <w:szCs w:val="16"/>
                <w:lang w:val="fr-FR"/>
              </w:rPr>
              <w:t>Almost contiguous UL CP-OFDM</w:t>
            </w:r>
          </w:p>
        </w:tc>
        <w:tc>
          <w:tcPr>
            <w:tcW w:w="431" w:type="pct"/>
            <w:shd w:val="clear" w:color="auto" w:fill="auto"/>
            <w:vAlign w:val="center"/>
          </w:tcPr>
          <w:p w14:paraId="21D29222" w14:textId="12B34EFF" w:rsidR="004D1DA2" w:rsidRPr="00A6001A" w:rsidRDefault="00494D9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theme="minorBidi"/>
                <w:bCs/>
                <w:color w:val="000000" w:themeColor="text1"/>
                <w:sz w:val="16"/>
                <w:szCs w:val="16"/>
                <w:lang w:val="en-GB"/>
              </w:rPr>
              <w:t>1) Support of almost contiguous UL CP-OFDM transmissions</w:t>
            </w:r>
          </w:p>
        </w:tc>
        <w:tc>
          <w:tcPr>
            <w:tcW w:w="248" w:type="pct"/>
            <w:shd w:val="clear" w:color="auto" w:fill="auto"/>
          </w:tcPr>
          <w:p w14:paraId="263CF17A"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0B08A7F8" w14:textId="108D6E58"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470" w:type="pct"/>
            <w:shd w:val="clear" w:color="auto" w:fill="auto"/>
            <w:vAlign w:val="center"/>
          </w:tcPr>
          <w:p w14:paraId="662095FB" w14:textId="1368B1BE" w:rsidR="004D1DA2" w:rsidRPr="00A6001A" w:rsidRDefault="00F74FA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almost contiguous UL CP-OFDM</w:t>
            </w:r>
          </w:p>
        </w:tc>
        <w:tc>
          <w:tcPr>
            <w:tcW w:w="397" w:type="pct"/>
            <w:shd w:val="clear" w:color="auto" w:fill="auto"/>
            <w:vAlign w:val="center"/>
          </w:tcPr>
          <w:p w14:paraId="0B26A391" w14:textId="3D37D32D" w:rsidR="004D1DA2" w:rsidRPr="00A6001A" w:rsidRDefault="00F74FA0"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645D9BEF" w14:textId="418E77BA" w:rsidR="004D1DA2" w:rsidRPr="00A6001A" w:rsidRDefault="00F74FA0"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76340ABE" w14:textId="65CAB3BA" w:rsidR="004D1DA2" w:rsidRPr="00A6001A" w:rsidRDefault="00F74FA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458D22F1"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52826492" w14:textId="06E76ADF" w:rsidR="004D1DA2" w:rsidRPr="00A6001A" w:rsidRDefault="00F74FA0"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continue to discuss whether to introduce the requirements.</w:t>
            </w:r>
          </w:p>
        </w:tc>
        <w:tc>
          <w:tcPr>
            <w:tcW w:w="209" w:type="pct"/>
            <w:shd w:val="clear" w:color="auto" w:fill="auto"/>
            <w:vAlign w:val="center"/>
          </w:tcPr>
          <w:p w14:paraId="6F5919E4"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48432C66" w14:textId="69C7D335" w:rsidR="004D1DA2" w:rsidRPr="00A6001A" w:rsidRDefault="00F161D8"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tc>
        <w:tc>
          <w:tcPr>
            <w:tcW w:w="143" w:type="pct"/>
            <w:shd w:val="clear" w:color="auto" w:fill="auto"/>
            <w:noWrap/>
            <w:vAlign w:val="center"/>
          </w:tcPr>
          <w:p w14:paraId="540B268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6BC94CB8" w14:textId="77777777" w:rsidTr="00846A7F">
        <w:trPr>
          <w:trHeight w:val="622"/>
          <w:jc w:val="center"/>
        </w:trPr>
        <w:tc>
          <w:tcPr>
            <w:tcW w:w="221" w:type="pct"/>
            <w:vMerge/>
            <w:shd w:val="clear" w:color="auto" w:fill="auto"/>
            <w:vAlign w:val="center"/>
          </w:tcPr>
          <w:p w14:paraId="7E48108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2DAEB2C2" w14:textId="32B2F4D5" w:rsidR="00542040" w:rsidRPr="00A6001A" w:rsidRDefault="004D1DA2"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2-</w:t>
            </w:r>
            <w:r w:rsidR="00542040" w:rsidRPr="00A6001A">
              <w:rPr>
                <w:rFonts w:ascii="Arial" w:eastAsia="ＭＳ Ｐゴシック" w:hAnsi="Arial" w:cs="Arial"/>
                <w:color w:val="000000" w:themeColor="text1"/>
                <w:kern w:val="0"/>
                <w:sz w:val="16"/>
                <w:szCs w:val="16"/>
              </w:rPr>
              <w:t>8</w:t>
            </w:r>
          </w:p>
        </w:tc>
        <w:tc>
          <w:tcPr>
            <w:tcW w:w="407" w:type="pct"/>
            <w:shd w:val="clear" w:color="auto" w:fill="auto"/>
            <w:vAlign w:val="center"/>
          </w:tcPr>
          <w:p w14:paraId="220C7A72"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PA calibration gap</w:t>
            </w:r>
          </w:p>
        </w:tc>
        <w:tc>
          <w:tcPr>
            <w:tcW w:w="431" w:type="pct"/>
            <w:shd w:val="clear" w:color="auto" w:fill="auto"/>
            <w:vAlign w:val="center"/>
          </w:tcPr>
          <w:p w14:paraId="53C22335" w14:textId="4B19A75C"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Support of PA calibration gap</w:t>
            </w:r>
            <w:r w:rsidR="00494D90" w:rsidRPr="00A6001A">
              <w:rPr>
                <w:rFonts w:ascii="Arial" w:eastAsia="ＭＳ Ｐゴシック" w:hAnsi="Arial" w:cs="Arial"/>
                <w:color w:val="000000" w:themeColor="text1"/>
                <w:kern w:val="0"/>
                <w:sz w:val="16"/>
                <w:szCs w:val="16"/>
              </w:rPr>
              <w:t xml:space="preserve"> </w:t>
            </w:r>
            <w:r w:rsidR="00494D90" w:rsidRPr="00A6001A">
              <w:rPr>
                <w:rFonts w:ascii="Arial" w:hAnsi="Arial" w:cs="Arial"/>
                <w:color w:val="000000" w:themeColor="text1"/>
                <w:sz w:val="16"/>
                <w:szCs w:val="16"/>
                <w:lang w:val="en-GB"/>
              </w:rPr>
              <w:t>to implement PA digital pre-distortion techniques</w:t>
            </w:r>
          </w:p>
        </w:tc>
        <w:tc>
          <w:tcPr>
            <w:tcW w:w="248" w:type="pct"/>
            <w:shd w:val="clear" w:color="auto" w:fill="auto"/>
            <w:vAlign w:val="center"/>
          </w:tcPr>
          <w:p w14:paraId="59CD802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3BB9E7C1" w14:textId="4C82164E"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65FCA88F" w14:textId="358D7114"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support PA calibration gap </w:t>
            </w:r>
          </w:p>
        </w:tc>
        <w:tc>
          <w:tcPr>
            <w:tcW w:w="397" w:type="pct"/>
            <w:shd w:val="clear" w:color="auto" w:fill="auto"/>
            <w:vAlign w:val="center"/>
          </w:tcPr>
          <w:p w14:paraId="28DB60CC" w14:textId="0E2D66D5" w:rsidR="004D1DA2" w:rsidRPr="00A6001A" w:rsidRDefault="004D1DA2" w:rsidP="00494D90">
            <w:pPr>
              <w:widowControl/>
              <w:adjustRightInd w:val="0"/>
              <w:snapToGrid w:val="0"/>
              <w:jc w:val="left"/>
              <w:rPr>
                <w:rFonts w:ascii="Arial" w:eastAsia="ＭＳ Ｐゴシック" w:hAnsi="Arial" w:cs="Arial"/>
                <w:color w:val="000000" w:themeColor="text1"/>
                <w:kern w:val="0"/>
                <w:sz w:val="16"/>
                <w:szCs w:val="16"/>
                <w:highlight w:val="yellow"/>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5B2D9F"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4</w:t>
            </w:r>
          </w:p>
        </w:tc>
        <w:tc>
          <w:tcPr>
            <w:tcW w:w="328" w:type="pct"/>
            <w:shd w:val="clear" w:color="auto" w:fill="auto"/>
            <w:vAlign w:val="center"/>
          </w:tcPr>
          <w:p w14:paraId="031D4CB4" w14:textId="2B7C403D"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161439A9" w14:textId="469C9519"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A</w:t>
            </w:r>
            <w:r w:rsidRPr="00A6001A">
              <w:rPr>
                <w:rFonts w:ascii="Arial" w:eastAsia="ＭＳ Ｐゴシック" w:hAnsi="Arial" w:cs="Arial"/>
                <w:color w:val="000000" w:themeColor="text1"/>
                <w:kern w:val="0"/>
                <w:sz w:val="16"/>
                <w:szCs w:val="16"/>
              </w:rPr>
              <w:t>pplicable only to FR2</w:t>
            </w:r>
          </w:p>
        </w:tc>
        <w:tc>
          <w:tcPr>
            <w:tcW w:w="328" w:type="pct"/>
            <w:shd w:val="clear" w:color="auto" w:fill="auto"/>
            <w:vAlign w:val="center"/>
          </w:tcPr>
          <w:p w14:paraId="20F4B894"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7ECEAEF3" w14:textId="77777777" w:rsidR="004D1DA2" w:rsidRPr="00A6001A" w:rsidRDefault="004D1DA2"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further discuss the UE capability in the future. We can revisit the need of calibration gap once RAN4 reach consensus.</w:t>
            </w:r>
          </w:p>
          <w:p w14:paraId="5A1A9B9C" w14:textId="77777777" w:rsidR="005B2D9F" w:rsidRPr="00A6001A" w:rsidRDefault="005B2D9F" w:rsidP="004D1DA2">
            <w:pPr>
              <w:widowControl/>
              <w:snapToGrid w:val="0"/>
              <w:jc w:val="left"/>
              <w:rPr>
                <w:rFonts w:ascii="Arial" w:eastAsia="ＭＳ Ｐゴシック" w:hAnsi="Arial" w:cs="Arial"/>
                <w:color w:val="000000" w:themeColor="text1"/>
                <w:kern w:val="0"/>
                <w:sz w:val="16"/>
                <w:szCs w:val="16"/>
              </w:rPr>
            </w:pPr>
          </w:p>
          <w:p w14:paraId="4F3F6008" w14:textId="36DB996E" w:rsidR="005B2D9F" w:rsidRPr="00A6001A" w:rsidRDefault="005B2D9F" w:rsidP="005B2D9F">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Introduce type 4 (per UE for FR2 only) UE capability signalling to inform network that the UE needs PA calibration gap for meeting the UE Tx requirements. If UE does not indicate this capability, the UE meets the UE Tx requirements without PA calibration gap </w:t>
            </w:r>
          </w:p>
          <w:p w14:paraId="6759C860" w14:textId="3FC843F3" w:rsidR="005B2D9F" w:rsidRPr="00A6001A" w:rsidRDefault="005B2D9F" w:rsidP="004D1DA2">
            <w:pPr>
              <w:widowControl/>
              <w:snapToGrid w:val="0"/>
              <w:jc w:val="left"/>
              <w:rPr>
                <w:rFonts w:ascii="Arial" w:eastAsia="ＭＳ Ｐゴシック" w:hAnsi="Arial" w:cs="Arial"/>
                <w:color w:val="000000" w:themeColor="text1"/>
                <w:kern w:val="0"/>
                <w:sz w:val="16"/>
                <w:szCs w:val="16"/>
                <w:lang w:val="en-GB"/>
              </w:rPr>
            </w:pPr>
          </w:p>
        </w:tc>
        <w:tc>
          <w:tcPr>
            <w:tcW w:w="209" w:type="pct"/>
            <w:shd w:val="clear" w:color="auto" w:fill="auto"/>
            <w:vAlign w:val="center"/>
          </w:tcPr>
          <w:p w14:paraId="7A68F711"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27DB5278"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 xml:space="preserve">BD </w:t>
            </w:r>
          </w:p>
        </w:tc>
        <w:tc>
          <w:tcPr>
            <w:tcW w:w="143" w:type="pct"/>
            <w:shd w:val="clear" w:color="auto" w:fill="auto"/>
            <w:noWrap/>
            <w:vAlign w:val="center"/>
          </w:tcPr>
          <w:p w14:paraId="23F792D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4EBF06DF" w14:textId="77777777" w:rsidTr="006B6534">
        <w:trPr>
          <w:trHeight w:val="622"/>
          <w:jc w:val="center"/>
        </w:trPr>
        <w:tc>
          <w:tcPr>
            <w:tcW w:w="221" w:type="pct"/>
            <w:vMerge/>
            <w:shd w:val="clear" w:color="auto" w:fill="auto"/>
            <w:vAlign w:val="center"/>
          </w:tcPr>
          <w:p w14:paraId="60558121"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B47AFA5" w14:textId="27A715AB" w:rsidR="00542040" w:rsidRPr="00A6001A" w:rsidRDefault="004D1DA2"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w:t>
            </w:r>
            <w:r w:rsidR="00542040" w:rsidRPr="00A6001A">
              <w:rPr>
                <w:rFonts w:ascii="Arial" w:eastAsia="ＭＳ Ｐゴシック" w:hAnsi="Arial" w:cs="Arial"/>
                <w:color w:val="000000" w:themeColor="text1"/>
                <w:kern w:val="0"/>
                <w:sz w:val="16"/>
                <w:szCs w:val="16"/>
              </w:rPr>
              <w:t>9</w:t>
            </w:r>
          </w:p>
        </w:tc>
        <w:tc>
          <w:tcPr>
            <w:tcW w:w="407" w:type="pct"/>
            <w:shd w:val="clear" w:color="auto" w:fill="auto"/>
            <w:vAlign w:val="center"/>
          </w:tcPr>
          <w:p w14:paraId="182A32EC" w14:textId="30B69C58"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power class</w:t>
            </w:r>
          </w:p>
        </w:tc>
        <w:tc>
          <w:tcPr>
            <w:tcW w:w="431" w:type="pct"/>
            <w:shd w:val="clear" w:color="auto" w:fill="auto"/>
            <w:vAlign w:val="center"/>
          </w:tcPr>
          <w:p w14:paraId="68034D41" w14:textId="35C7A250" w:rsidR="00396994" w:rsidRPr="00A6001A" w:rsidRDefault="005B2D9F" w:rsidP="005B2D9F">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1) </w:t>
            </w:r>
            <w:r w:rsidR="00114B0E" w:rsidRPr="00A6001A">
              <w:rPr>
                <w:rFonts w:ascii="Arial" w:eastAsia="ＭＳ Ｐゴシック" w:hAnsi="Arial" w:cs="Arial"/>
                <w:color w:val="000000" w:themeColor="text1"/>
                <w:kern w:val="0"/>
                <w:sz w:val="16"/>
                <w:szCs w:val="16"/>
                <w:lang w:val="en-GB"/>
              </w:rPr>
              <w:t>Support of [non-default] FR1 UE power class</w:t>
            </w:r>
          </w:p>
          <w:p w14:paraId="61B7A581" w14:textId="224AC53D" w:rsidR="00396994" w:rsidRPr="00A6001A" w:rsidRDefault="005B2D9F" w:rsidP="005B2D9F">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2) </w:t>
            </w:r>
            <w:r w:rsidR="00114B0E" w:rsidRPr="00A6001A">
              <w:rPr>
                <w:rFonts w:ascii="Arial" w:eastAsia="ＭＳ Ｐゴシック" w:hAnsi="Arial" w:cs="Arial"/>
                <w:color w:val="000000" w:themeColor="text1"/>
                <w:kern w:val="0"/>
                <w:sz w:val="16"/>
                <w:szCs w:val="16"/>
                <w:lang w:val="en-GB"/>
              </w:rPr>
              <w:t>Support of FR2 UE power class</w:t>
            </w:r>
          </w:p>
          <w:p w14:paraId="5D553F78" w14:textId="4BA840F0" w:rsidR="00396994" w:rsidRPr="00A6001A" w:rsidRDefault="005B2D9F" w:rsidP="005B2D9F">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3) </w:t>
            </w:r>
            <w:r w:rsidR="00114B0E" w:rsidRPr="00A6001A">
              <w:rPr>
                <w:rFonts w:ascii="Arial" w:eastAsia="ＭＳ Ｐゴシック" w:hAnsi="Arial" w:cs="Arial"/>
                <w:color w:val="000000" w:themeColor="text1"/>
                <w:kern w:val="0"/>
                <w:sz w:val="16"/>
                <w:szCs w:val="16"/>
                <w:lang w:val="en-GB"/>
              </w:rPr>
              <w:t>Support of FR1 UE power class for EN-DC</w:t>
            </w:r>
          </w:p>
          <w:p w14:paraId="25F04361" w14:textId="719EBD0D" w:rsidR="00F74FA0" w:rsidRPr="00A6001A" w:rsidRDefault="005B2D9F"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lang w:val="en-GB"/>
              </w:rPr>
              <w:t xml:space="preserve">4) </w:t>
            </w:r>
            <w:r w:rsidR="00114B0E" w:rsidRPr="00A6001A">
              <w:rPr>
                <w:rFonts w:ascii="Arial" w:eastAsia="ＭＳ Ｐゴシック" w:hAnsi="Arial" w:cs="Arial"/>
                <w:color w:val="000000" w:themeColor="text1"/>
                <w:kern w:val="0"/>
                <w:sz w:val="16"/>
                <w:szCs w:val="16"/>
                <w:lang w:val="en-GB"/>
              </w:rPr>
              <w:t xml:space="preserve">Support of FR1 UE power class for </w:t>
            </w:r>
            <w:r w:rsidRPr="00A6001A">
              <w:rPr>
                <w:rFonts w:ascii="Arial" w:eastAsia="ＭＳ Ｐゴシック" w:hAnsi="Arial" w:cs="Arial"/>
                <w:color w:val="000000" w:themeColor="text1"/>
                <w:kern w:val="0"/>
                <w:sz w:val="16"/>
                <w:szCs w:val="16"/>
                <w:lang w:val="en-GB"/>
              </w:rPr>
              <w:t>NR-CA</w:t>
            </w:r>
          </w:p>
        </w:tc>
        <w:tc>
          <w:tcPr>
            <w:tcW w:w="248" w:type="pct"/>
            <w:shd w:val="clear" w:color="auto" w:fill="auto"/>
            <w:vAlign w:val="center"/>
          </w:tcPr>
          <w:p w14:paraId="0D55AA32"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2A6EFE5B" w14:textId="213E49C0"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7F20B9C1" w14:textId="3B825E87" w:rsidR="004D1DA2" w:rsidRPr="00A6001A" w:rsidRDefault="005B2D9F" w:rsidP="004D1DA2">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UE does not support UE power classes</w:t>
            </w:r>
          </w:p>
        </w:tc>
        <w:tc>
          <w:tcPr>
            <w:tcW w:w="397" w:type="pct"/>
            <w:shd w:val="clear" w:color="auto" w:fill="auto"/>
            <w:vAlign w:val="center"/>
          </w:tcPr>
          <w:p w14:paraId="25831302" w14:textId="31DC22D5" w:rsidR="004D1DA2" w:rsidRPr="00A6001A" w:rsidRDefault="005B2D9F"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lang w:val="en-GB"/>
              </w:rPr>
              <w:t>Type 1 and Type 3 (see remarks column)</w:t>
            </w:r>
          </w:p>
        </w:tc>
        <w:tc>
          <w:tcPr>
            <w:tcW w:w="328" w:type="pct"/>
            <w:shd w:val="clear" w:color="auto" w:fill="auto"/>
            <w:vAlign w:val="center"/>
          </w:tcPr>
          <w:p w14:paraId="307CEACD" w14:textId="50F71278"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4348815B" w14:textId="76CCC44A"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4F975374"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D20280D" w14:textId="77777777" w:rsidR="005B2D9F" w:rsidRPr="00A6001A" w:rsidRDefault="005B2D9F" w:rsidP="005B2D9F">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Capability signalling</w:t>
            </w:r>
          </w:p>
          <w:p w14:paraId="15AD4F2B" w14:textId="77777777" w:rsidR="00396994"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FR1 UE power class ( Type 1 (per band))</w:t>
            </w:r>
          </w:p>
          <w:p w14:paraId="34C2F34C" w14:textId="77777777" w:rsidR="00396994"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FR2 UE power class ( Type 1 (per band))</w:t>
            </w:r>
          </w:p>
          <w:p w14:paraId="35FC79CF" w14:textId="77777777" w:rsidR="00396994"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FR1 UE power class for EN-DC (Type 3 (per band combination))</w:t>
            </w:r>
          </w:p>
          <w:p w14:paraId="7B696958" w14:textId="1DB6B296" w:rsidR="004D1DA2"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lang w:val="en-GB"/>
              </w:rPr>
              <w:t>FR1 UE power class for NR CA (Type 3 (per band combination))</w:t>
            </w:r>
          </w:p>
        </w:tc>
        <w:tc>
          <w:tcPr>
            <w:tcW w:w="209" w:type="pct"/>
            <w:shd w:val="clear" w:color="auto" w:fill="auto"/>
            <w:vAlign w:val="center"/>
          </w:tcPr>
          <w:p w14:paraId="15FB5DDE" w14:textId="0EC2E2D3"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674CBBBA" w14:textId="7A89682D"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tc>
        <w:tc>
          <w:tcPr>
            <w:tcW w:w="143" w:type="pct"/>
            <w:shd w:val="clear" w:color="auto" w:fill="auto"/>
            <w:noWrap/>
            <w:vAlign w:val="center"/>
          </w:tcPr>
          <w:p w14:paraId="05CAC39D"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25A399B2" w14:textId="77777777" w:rsidTr="00F74FA0">
        <w:trPr>
          <w:trHeight w:val="622"/>
          <w:jc w:val="center"/>
        </w:trPr>
        <w:tc>
          <w:tcPr>
            <w:tcW w:w="221" w:type="pct"/>
            <w:vMerge w:val="restart"/>
            <w:shd w:val="clear" w:color="auto" w:fill="auto"/>
            <w:vAlign w:val="center"/>
          </w:tcPr>
          <w:p w14:paraId="24913066"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Baseband</w:t>
            </w:r>
          </w:p>
        </w:tc>
        <w:tc>
          <w:tcPr>
            <w:tcW w:w="175" w:type="pct"/>
            <w:shd w:val="clear" w:color="auto" w:fill="auto"/>
            <w:vAlign w:val="center"/>
          </w:tcPr>
          <w:p w14:paraId="70FA6EC7"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3-1</w:t>
            </w:r>
          </w:p>
        </w:tc>
        <w:tc>
          <w:tcPr>
            <w:tcW w:w="407" w:type="pct"/>
            <w:shd w:val="clear" w:color="auto" w:fill="auto"/>
            <w:vAlign w:val="center"/>
          </w:tcPr>
          <w:p w14:paraId="5278AB33"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Independent measurement gap configurations for FR1 and FR2</w:t>
            </w:r>
          </w:p>
        </w:tc>
        <w:tc>
          <w:tcPr>
            <w:tcW w:w="431" w:type="pct"/>
            <w:shd w:val="clear" w:color="auto" w:fill="auto"/>
            <w:vAlign w:val="center"/>
          </w:tcPr>
          <w:p w14:paraId="7A4C945F"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measurement gaps for FR1 and FR2 are configured independently</w:t>
            </w:r>
          </w:p>
        </w:tc>
        <w:tc>
          <w:tcPr>
            <w:tcW w:w="248" w:type="pct"/>
            <w:shd w:val="clear" w:color="auto" w:fill="auto"/>
            <w:vAlign w:val="center"/>
          </w:tcPr>
          <w:p w14:paraId="66E50056"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7A4ADEF2"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2557E5D9"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UE does not support independent gap configuration between FR1 and FR2 </w:t>
            </w:r>
          </w:p>
        </w:tc>
        <w:tc>
          <w:tcPr>
            <w:tcW w:w="397" w:type="pct"/>
            <w:shd w:val="clear" w:color="auto" w:fill="auto"/>
            <w:vAlign w:val="center"/>
          </w:tcPr>
          <w:p w14:paraId="38197A18"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446DB06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3F15366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2BD52F9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2C8E83DA" w14:textId="77777777" w:rsidR="004D1DA2" w:rsidRPr="00A6001A" w:rsidRDefault="004D1DA2" w:rsidP="004D1DA2">
            <w:pPr>
              <w:widowControl/>
              <w:snapToGrid w:val="0"/>
              <w:jc w:val="left"/>
              <w:rPr>
                <w:rFonts w:ascii="Arial" w:eastAsia="ＭＳ Ｐゴシック" w:hAnsi="Arial" w:cs="Arial"/>
                <w:color w:val="000000" w:themeColor="text1"/>
                <w:kern w:val="0"/>
                <w:sz w:val="16"/>
                <w:szCs w:val="16"/>
              </w:rPr>
            </w:pPr>
          </w:p>
        </w:tc>
        <w:tc>
          <w:tcPr>
            <w:tcW w:w="209" w:type="pct"/>
            <w:shd w:val="clear" w:color="auto" w:fill="auto"/>
            <w:vAlign w:val="center"/>
          </w:tcPr>
          <w:p w14:paraId="7265022E"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811A39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p>
        </w:tc>
        <w:tc>
          <w:tcPr>
            <w:tcW w:w="143" w:type="pct"/>
            <w:shd w:val="clear" w:color="auto" w:fill="auto"/>
            <w:noWrap/>
            <w:vAlign w:val="center"/>
          </w:tcPr>
          <w:p w14:paraId="47BC80BC"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3722D85C" w14:textId="77777777" w:rsidTr="006B6534">
        <w:trPr>
          <w:trHeight w:val="622"/>
          <w:jc w:val="center"/>
        </w:trPr>
        <w:tc>
          <w:tcPr>
            <w:tcW w:w="221" w:type="pct"/>
            <w:vMerge/>
            <w:shd w:val="clear" w:color="auto" w:fill="auto"/>
            <w:vAlign w:val="center"/>
          </w:tcPr>
          <w:p w14:paraId="104BFCA3"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E27AAD1"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3-2</w:t>
            </w:r>
          </w:p>
        </w:tc>
        <w:tc>
          <w:tcPr>
            <w:tcW w:w="407" w:type="pct"/>
            <w:shd w:val="clear" w:color="auto" w:fill="auto"/>
            <w:vAlign w:val="center"/>
          </w:tcPr>
          <w:p w14:paraId="62D0F734" w14:textId="3B07E206"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Simultaneous reception of data and SS block with different numerologies when UE conducts the serving cell measurement or intra-frequency measurement</w:t>
            </w:r>
            <w:r w:rsidR="00AA4793" w:rsidRPr="00A6001A">
              <w:rPr>
                <w:rFonts w:ascii="Arial" w:eastAsia="ＭＳ Ｐゴシック" w:hAnsi="Arial" w:cs="Arial"/>
                <w:color w:val="000000" w:themeColor="text1"/>
                <w:kern w:val="0"/>
                <w:sz w:val="16"/>
                <w:szCs w:val="16"/>
              </w:rPr>
              <w:t xml:space="preserve"> </w:t>
            </w:r>
          </w:p>
        </w:tc>
        <w:tc>
          <w:tcPr>
            <w:tcW w:w="431" w:type="pct"/>
            <w:shd w:val="clear" w:color="auto" w:fill="auto"/>
            <w:vAlign w:val="center"/>
          </w:tcPr>
          <w:p w14:paraId="05A87995"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Simultaneous reception of data and SS block with different numerologies when UE conducts the serving cell measurement or intra-frequency measurement</w:t>
            </w:r>
          </w:p>
        </w:tc>
        <w:tc>
          <w:tcPr>
            <w:tcW w:w="248" w:type="pct"/>
            <w:shd w:val="clear" w:color="auto" w:fill="auto"/>
            <w:vAlign w:val="center"/>
          </w:tcPr>
          <w:p w14:paraId="2B4D0DFD"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249" w:type="pct"/>
            <w:shd w:val="clear" w:color="auto" w:fill="auto"/>
            <w:vAlign w:val="center"/>
          </w:tcPr>
          <w:p w14:paraId="461E79FA"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1A3A4836"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UE does not support simultaneous reception of data and SS block with different numerologies </w:t>
            </w:r>
          </w:p>
        </w:tc>
        <w:tc>
          <w:tcPr>
            <w:tcW w:w="397" w:type="pct"/>
            <w:shd w:val="clear" w:color="auto" w:fill="auto"/>
            <w:vAlign w:val="center"/>
          </w:tcPr>
          <w:p w14:paraId="48F0F1AB"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5E7413D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262A46CC" w14:textId="3A97C0BB" w:rsidR="004D1DA2" w:rsidRPr="00D54EEE" w:rsidRDefault="00030831"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3EEAC73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4FE97148" w14:textId="1121AA1D" w:rsidR="004D1DA2" w:rsidRPr="00A6001A" w:rsidRDefault="004D1DA2" w:rsidP="004D1DA2">
            <w:pPr>
              <w:widowControl/>
              <w:snapToGrid w:val="0"/>
              <w:jc w:val="left"/>
              <w:rPr>
                <w:rFonts w:ascii="Arial" w:eastAsia="ＭＳ Ｐゴシック" w:hAnsi="Arial" w:cs="Arial"/>
                <w:strike/>
                <w:color w:val="000000" w:themeColor="text1"/>
                <w:kern w:val="0"/>
                <w:sz w:val="16"/>
                <w:szCs w:val="16"/>
              </w:rPr>
            </w:pPr>
          </w:p>
        </w:tc>
        <w:tc>
          <w:tcPr>
            <w:tcW w:w="209" w:type="pct"/>
            <w:shd w:val="clear" w:color="auto" w:fill="auto"/>
            <w:vAlign w:val="center"/>
          </w:tcPr>
          <w:p w14:paraId="49ABAB0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59CC02A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p>
        </w:tc>
        <w:tc>
          <w:tcPr>
            <w:tcW w:w="143" w:type="pct"/>
            <w:shd w:val="clear" w:color="auto" w:fill="auto"/>
            <w:noWrap/>
            <w:vAlign w:val="center"/>
          </w:tcPr>
          <w:p w14:paraId="028EB0D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r>
    </w:tbl>
    <w:p w14:paraId="74F5754B" w14:textId="6FED88B6" w:rsidR="00C4690E" w:rsidRPr="006521BF" w:rsidRDefault="00C4690E" w:rsidP="00EF2FE5">
      <w:pPr>
        <w:snapToGrid w:val="0"/>
        <w:jc w:val="left"/>
        <w:rPr>
          <w:rFonts w:ascii="Arial" w:hAnsi="Arial" w:cs="Arial"/>
          <w:color w:val="000000" w:themeColor="text1"/>
          <w:sz w:val="16"/>
          <w:szCs w:val="16"/>
        </w:rPr>
      </w:pPr>
    </w:p>
    <w:sectPr w:rsidR="00C4690E" w:rsidRPr="006521BF" w:rsidSect="00EA1AD6">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C16EB" w14:textId="77777777" w:rsidR="004229F4" w:rsidRDefault="004229F4" w:rsidP="00131295">
      <w:r>
        <w:separator/>
      </w:r>
    </w:p>
  </w:endnote>
  <w:endnote w:type="continuationSeparator" w:id="0">
    <w:p w14:paraId="132B9B59" w14:textId="77777777" w:rsidR="004229F4" w:rsidRDefault="004229F4" w:rsidP="0013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87A81" w14:textId="77777777" w:rsidR="004229F4" w:rsidRDefault="004229F4" w:rsidP="00131295">
      <w:r>
        <w:separator/>
      </w:r>
    </w:p>
  </w:footnote>
  <w:footnote w:type="continuationSeparator" w:id="0">
    <w:p w14:paraId="43B3E352" w14:textId="77777777" w:rsidR="004229F4" w:rsidRDefault="004229F4" w:rsidP="00131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37546"/>
    <w:multiLevelType w:val="hybridMultilevel"/>
    <w:tmpl w:val="3210FB54"/>
    <w:lvl w:ilvl="0" w:tplc="7F869AE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DF6DD6"/>
    <w:multiLevelType w:val="hybridMultilevel"/>
    <w:tmpl w:val="4DCC154A"/>
    <w:lvl w:ilvl="0" w:tplc="9E0EF5F4">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264578"/>
    <w:multiLevelType w:val="hybridMultilevel"/>
    <w:tmpl w:val="E10E5338"/>
    <w:lvl w:ilvl="0" w:tplc="E834CCC2">
      <w:start w:val="1"/>
      <w:numFmt w:val="decimal"/>
      <w:lvlText w:val="%1."/>
      <w:lvlJc w:val="left"/>
      <w:pPr>
        <w:ind w:left="644"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6164E75"/>
    <w:multiLevelType w:val="hybridMultilevel"/>
    <w:tmpl w:val="5A5012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162921"/>
    <w:multiLevelType w:val="hybridMultilevel"/>
    <w:tmpl w:val="564ADE46"/>
    <w:lvl w:ilvl="0" w:tplc="2F788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845BD6"/>
    <w:multiLevelType w:val="hybridMultilevel"/>
    <w:tmpl w:val="DFFC6AF2"/>
    <w:lvl w:ilvl="0" w:tplc="3FE6E438">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156407"/>
    <w:multiLevelType w:val="hybridMultilevel"/>
    <w:tmpl w:val="5478D978"/>
    <w:lvl w:ilvl="0" w:tplc="7D86F588">
      <w:start w:val="1"/>
      <w:numFmt w:val="decimal"/>
      <w:lvlText w:val="%1)"/>
      <w:lvlJc w:val="left"/>
      <w:pPr>
        <w:tabs>
          <w:tab w:val="num" w:pos="720"/>
        </w:tabs>
        <w:ind w:left="720" w:hanging="360"/>
      </w:pPr>
    </w:lvl>
    <w:lvl w:ilvl="1" w:tplc="14C8B33E" w:tentative="1">
      <w:start w:val="1"/>
      <w:numFmt w:val="decimal"/>
      <w:lvlText w:val="%2)"/>
      <w:lvlJc w:val="left"/>
      <w:pPr>
        <w:tabs>
          <w:tab w:val="num" w:pos="1440"/>
        </w:tabs>
        <w:ind w:left="1440" w:hanging="360"/>
      </w:pPr>
    </w:lvl>
    <w:lvl w:ilvl="2" w:tplc="F182A716" w:tentative="1">
      <w:start w:val="1"/>
      <w:numFmt w:val="decimal"/>
      <w:lvlText w:val="%3)"/>
      <w:lvlJc w:val="left"/>
      <w:pPr>
        <w:tabs>
          <w:tab w:val="num" w:pos="2160"/>
        </w:tabs>
        <w:ind w:left="2160" w:hanging="360"/>
      </w:pPr>
    </w:lvl>
    <w:lvl w:ilvl="3" w:tplc="77406DE6" w:tentative="1">
      <w:start w:val="1"/>
      <w:numFmt w:val="decimal"/>
      <w:lvlText w:val="%4)"/>
      <w:lvlJc w:val="left"/>
      <w:pPr>
        <w:tabs>
          <w:tab w:val="num" w:pos="2880"/>
        </w:tabs>
        <w:ind w:left="2880" w:hanging="360"/>
      </w:pPr>
    </w:lvl>
    <w:lvl w:ilvl="4" w:tplc="8E12C33C" w:tentative="1">
      <w:start w:val="1"/>
      <w:numFmt w:val="decimal"/>
      <w:lvlText w:val="%5)"/>
      <w:lvlJc w:val="left"/>
      <w:pPr>
        <w:tabs>
          <w:tab w:val="num" w:pos="3600"/>
        </w:tabs>
        <w:ind w:left="3600" w:hanging="360"/>
      </w:pPr>
    </w:lvl>
    <w:lvl w:ilvl="5" w:tplc="6A86342E" w:tentative="1">
      <w:start w:val="1"/>
      <w:numFmt w:val="decimal"/>
      <w:lvlText w:val="%6)"/>
      <w:lvlJc w:val="left"/>
      <w:pPr>
        <w:tabs>
          <w:tab w:val="num" w:pos="4320"/>
        </w:tabs>
        <w:ind w:left="4320" w:hanging="360"/>
      </w:pPr>
    </w:lvl>
    <w:lvl w:ilvl="6" w:tplc="19FC27DA" w:tentative="1">
      <w:start w:val="1"/>
      <w:numFmt w:val="decimal"/>
      <w:lvlText w:val="%7)"/>
      <w:lvlJc w:val="left"/>
      <w:pPr>
        <w:tabs>
          <w:tab w:val="num" w:pos="5040"/>
        </w:tabs>
        <w:ind w:left="5040" w:hanging="360"/>
      </w:pPr>
    </w:lvl>
    <w:lvl w:ilvl="7" w:tplc="5BA2AA0A" w:tentative="1">
      <w:start w:val="1"/>
      <w:numFmt w:val="decimal"/>
      <w:lvlText w:val="%8)"/>
      <w:lvlJc w:val="left"/>
      <w:pPr>
        <w:tabs>
          <w:tab w:val="num" w:pos="5760"/>
        </w:tabs>
        <w:ind w:left="5760" w:hanging="360"/>
      </w:pPr>
    </w:lvl>
    <w:lvl w:ilvl="8" w:tplc="D410F484" w:tentative="1">
      <w:start w:val="1"/>
      <w:numFmt w:val="decimal"/>
      <w:lvlText w:val="%9)"/>
      <w:lvlJc w:val="left"/>
      <w:pPr>
        <w:tabs>
          <w:tab w:val="num" w:pos="6480"/>
        </w:tabs>
        <w:ind w:left="6480" w:hanging="360"/>
      </w:pPr>
    </w:lvl>
  </w:abstractNum>
  <w:abstractNum w:abstractNumId="9" w15:restartNumberingAfterBreak="0">
    <w:nsid w:val="3B5F7C45"/>
    <w:multiLevelType w:val="hybridMultilevel"/>
    <w:tmpl w:val="FC6089DC"/>
    <w:lvl w:ilvl="0" w:tplc="5ED699DC">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C997C7A"/>
    <w:multiLevelType w:val="hybridMultilevel"/>
    <w:tmpl w:val="FF68C6C4"/>
    <w:lvl w:ilvl="0" w:tplc="F510EA46">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1E7AEF"/>
    <w:multiLevelType w:val="hybridMultilevel"/>
    <w:tmpl w:val="F3E43D2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AD1DCB"/>
    <w:multiLevelType w:val="hybridMultilevel"/>
    <w:tmpl w:val="110EC338"/>
    <w:lvl w:ilvl="0" w:tplc="18A48B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C23CAB"/>
    <w:multiLevelType w:val="hybridMultilevel"/>
    <w:tmpl w:val="B21C61B4"/>
    <w:lvl w:ilvl="0" w:tplc="CA70E1AC">
      <w:start w:val="8"/>
      <w:numFmt w:val="bullet"/>
      <w:lvlText w:val="-"/>
      <w:lvlJc w:val="left"/>
      <w:pPr>
        <w:ind w:left="420" w:hanging="42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6872DA"/>
    <w:multiLevelType w:val="hybridMultilevel"/>
    <w:tmpl w:val="C00408DE"/>
    <w:lvl w:ilvl="0" w:tplc="9D5AF88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36397A"/>
    <w:multiLevelType w:val="hybridMultilevel"/>
    <w:tmpl w:val="C6BA839E"/>
    <w:lvl w:ilvl="0" w:tplc="B70834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DE5026"/>
    <w:multiLevelType w:val="hybridMultilevel"/>
    <w:tmpl w:val="7A98ACC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E607F76"/>
    <w:multiLevelType w:val="hybridMultilevel"/>
    <w:tmpl w:val="4E22CBB2"/>
    <w:lvl w:ilvl="0" w:tplc="E90AAD9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CE6A08"/>
    <w:multiLevelType w:val="hybridMultilevel"/>
    <w:tmpl w:val="89FC33B4"/>
    <w:lvl w:ilvl="0" w:tplc="FFAAC288">
      <w:start w:val="3"/>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AC0704"/>
    <w:multiLevelType w:val="hybridMultilevel"/>
    <w:tmpl w:val="5394E9AC"/>
    <w:lvl w:ilvl="0" w:tplc="08090005">
      <w:start w:val="8"/>
      <w:numFmt w:val="bullet"/>
      <w:lvlText w:val="-"/>
      <w:lvlJc w:val="left"/>
      <w:pPr>
        <w:ind w:left="420" w:hanging="42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D072F6C"/>
    <w:multiLevelType w:val="hybridMultilevel"/>
    <w:tmpl w:val="504A8F9A"/>
    <w:lvl w:ilvl="0" w:tplc="ECFAE65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27179A"/>
    <w:multiLevelType w:val="hybridMultilevel"/>
    <w:tmpl w:val="41D87C64"/>
    <w:lvl w:ilvl="0" w:tplc="ACC2FFEE">
      <w:start w:val="1"/>
      <w:numFmt w:val="bullet"/>
      <w:lvlText w:val="•"/>
      <w:lvlJc w:val="left"/>
      <w:pPr>
        <w:tabs>
          <w:tab w:val="num" w:pos="720"/>
        </w:tabs>
        <w:ind w:left="720" w:hanging="360"/>
      </w:pPr>
      <w:rPr>
        <w:rFonts w:ascii="Arial" w:hAnsi="Arial" w:hint="default"/>
      </w:rPr>
    </w:lvl>
    <w:lvl w:ilvl="1" w:tplc="1514E5EE">
      <w:start w:val="142"/>
      <w:numFmt w:val="bullet"/>
      <w:lvlText w:val="–"/>
      <w:lvlJc w:val="left"/>
      <w:pPr>
        <w:tabs>
          <w:tab w:val="num" w:pos="1440"/>
        </w:tabs>
        <w:ind w:left="1440" w:hanging="360"/>
      </w:pPr>
      <w:rPr>
        <w:rFonts w:ascii="Arial" w:hAnsi="Arial" w:hint="default"/>
      </w:rPr>
    </w:lvl>
    <w:lvl w:ilvl="2" w:tplc="97BA5CFE" w:tentative="1">
      <w:start w:val="1"/>
      <w:numFmt w:val="bullet"/>
      <w:lvlText w:val="•"/>
      <w:lvlJc w:val="left"/>
      <w:pPr>
        <w:tabs>
          <w:tab w:val="num" w:pos="2160"/>
        </w:tabs>
        <w:ind w:left="2160" w:hanging="360"/>
      </w:pPr>
      <w:rPr>
        <w:rFonts w:ascii="Arial" w:hAnsi="Arial" w:hint="default"/>
      </w:rPr>
    </w:lvl>
    <w:lvl w:ilvl="3" w:tplc="14E2A2C0" w:tentative="1">
      <w:start w:val="1"/>
      <w:numFmt w:val="bullet"/>
      <w:lvlText w:val="•"/>
      <w:lvlJc w:val="left"/>
      <w:pPr>
        <w:tabs>
          <w:tab w:val="num" w:pos="2880"/>
        </w:tabs>
        <w:ind w:left="2880" w:hanging="360"/>
      </w:pPr>
      <w:rPr>
        <w:rFonts w:ascii="Arial" w:hAnsi="Arial" w:hint="default"/>
      </w:rPr>
    </w:lvl>
    <w:lvl w:ilvl="4" w:tplc="217CFEEC" w:tentative="1">
      <w:start w:val="1"/>
      <w:numFmt w:val="bullet"/>
      <w:lvlText w:val="•"/>
      <w:lvlJc w:val="left"/>
      <w:pPr>
        <w:tabs>
          <w:tab w:val="num" w:pos="3600"/>
        </w:tabs>
        <w:ind w:left="3600" w:hanging="360"/>
      </w:pPr>
      <w:rPr>
        <w:rFonts w:ascii="Arial" w:hAnsi="Arial" w:hint="default"/>
      </w:rPr>
    </w:lvl>
    <w:lvl w:ilvl="5" w:tplc="6B344A96" w:tentative="1">
      <w:start w:val="1"/>
      <w:numFmt w:val="bullet"/>
      <w:lvlText w:val="•"/>
      <w:lvlJc w:val="left"/>
      <w:pPr>
        <w:tabs>
          <w:tab w:val="num" w:pos="4320"/>
        </w:tabs>
        <w:ind w:left="4320" w:hanging="360"/>
      </w:pPr>
      <w:rPr>
        <w:rFonts w:ascii="Arial" w:hAnsi="Arial" w:hint="default"/>
      </w:rPr>
    </w:lvl>
    <w:lvl w:ilvl="6" w:tplc="F22643B0" w:tentative="1">
      <w:start w:val="1"/>
      <w:numFmt w:val="bullet"/>
      <w:lvlText w:val="•"/>
      <w:lvlJc w:val="left"/>
      <w:pPr>
        <w:tabs>
          <w:tab w:val="num" w:pos="5040"/>
        </w:tabs>
        <w:ind w:left="5040" w:hanging="360"/>
      </w:pPr>
      <w:rPr>
        <w:rFonts w:ascii="Arial" w:hAnsi="Arial" w:hint="default"/>
      </w:rPr>
    </w:lvl>
    <w:lvl w:ilvl="7" w:tplc="15AA7B50" w:tentative="1">
      <w:start w:val="1"/>
      <w:numFmt w:val="bullet"/>
      <w:lvlText w:val="•"/>
      <w:lvlJc w:val="left"/>
      <w:pPr>
        <w:tabs>
          <w:tab w:val="num" w:pos="5760"/>
        </w:tabs>
        <w:ind w:left="5760" w:hanging="360"/>
      </w:pPr>
      <w:rPr>
        <w:rFonts w:ascii="Arial" w:hAnsi="Arial" w:hint="default"/>
      </w:rPr>
    </w:lvl>
    <w:lvl w:ilvl="8" w:tplc="40B013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392E95"/>
    <w:multiLevelType w:val="hybridMultilevel"/>
    <w:tmpl w:val="9A0643D8"/>
    <w:lvl w:ilvl="0" w:tplc="18D4D010">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353B8F"/>
    <w:multiLevelType w:val="hybridMultilevel"/>
    <w:tmpl w:val="6CD6D206"/>
    <w:lvl w:ilvl="0" w:tplc="B51453B2">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6"/>
  </w:num>
  <w:num w:numId="3">
    <w:abstractNumId w:val="10"/>
  </w:num>
  <w:num w:numId="4">
    <w:abstractNumId w:val="0"/>
  </w:num>
  <w:num w:numId="5">
    <w:abstractNumId w:val="20"/>
  </w:num>
  <w:num w:numId="6">
    <w:abstractNumId w:val="9"/>
  </w:num>
  <w:num w:numId="7">
    <w:abstractNumId w:val="7"/>
  </w:num>
  <w:num w:numId="8">
    <w:abstractNumId w:val="1"/>
  </w:num>
  <w:num w:numId="9">
    <w:abstractNumId w:val="25"/>
  </w:num>
  <w:num w:numId="10">
    <w:abstractNumId w:val="17"/>
  </w:num>
  <w:num w:numId="11">
    <w:abstractNumId w:val="23"/>
  </w:num>
  <w:num w:numId="12">
    <w:abstractNumId w:val="22"/>
  </w:num>
  <w:num w:numId="13">
    <w:abstractNumId w:val="18"/>
  </w:num>
  <w:num w:numId="14">
    <w:abstractNumId w:val="13"/>
  </w:num>
  <w:num w:numId="15">
    <w:abstractNumId w:val="11"/>
  </w:num>
  <w:num w:numId="16">
    <w:abstractNumId w:val="3"/>
  </w:num>
  <w:num w:numId="17">
    <w:abstractNumId w:val="19"/>
  </w:num>
  <w:num w:numId="18">
    <w:abstractNumId w:val="15"/>
  </w:num>
  <w:num w:numId="19">
    <w:abstractNumId w:val="2"/>
  </w:num>
  <w:num w:numId="20">
    <w:abstractNumId w:val="21"/>
  </w:num>
  <w:num w:numId="21">
    <w:abstractNumId w:val="14"/>
  </w:num>
  <w:num w:numId="22">
    <w:abstractNumId w:val="12"/>
  </w:num>
  <w:num w:numId="23">
    <w:abstractNumId w:val="5"/>
  </w:num>
  <w:num w:numId="24">
    <w:abstractNumId w:val="4"/>
  </w:num>
  <w:num w:numId="25">
    <w:abstractNumId w:va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840"/>
  <w:hyphenationZone w:val="425"/>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55D"/>
    <w:rsid w:val="00000E8C"/>
    <w:rsid w:val="00001A05"/>
    <w:rsid w:val="000039CC"/>
    <w:rsid w:val="000079EE"/>
    <w:rsid w:val="00024999"/>
    <w:rsid w:val="00030831"/>
    <w:rsid w:val="00036AFF"/>
    <w:rsid w:val="000376D0"/>
    <w:rsid w:val="00042D30"/>
    <w:rsid w:val="000477B3"/>
    <w:rsid w:val="00066A02"/>
    <w:rsid w:val="000A763C"/>
    <w:rsid w:val="000B0545"/>
    <w:rsid w:val="000B41D9"/>
    <w:rsid w:val="000B4E87"/>
    <w:rsid w:val="000B796A"/>
    <w:rsid w:val="000C136B"/>
    <w:rsid w:val="000C175C"/>
    <w:rsid w:val="000C37C5"/>
    <w:rsid w:val="000C688F"/>
    <w:rsid w:val="000D45AF"/>
    <w:rsid w:val="000E6AC1"/>
    <w:rsid w:val="000F7488"/>
    <w:rsid w:val="00103145"/>
    <w:rsid w:val="00113CFE"/>
    <w:rsid w:val="00114B0E"/>
    <w:rsid w:val="00120F39"/>
    <w:rsid w:val="00123D12"/>
    <w:rsid w:val="00123F56"/>
    <w:rsid w:val="001266CB"/>
    <w:rsid w:val="00131295"/>
    <w:rsid w:val="00166AE3"/>
    <w:rsid w:val="00172BCC"/>
    <w:rsid w:val="001732E1"/>
    <w:rsid w:val="00187594"/>
    <w:rsid w:val="001B189C"/>
    <w:rsid w:val="001B3258"/>
    <w:rsid w:val="001B72C3"/>
    <w:rsid w:val="001C0D96"/>
    <w:rsid w:val="001C5D67"/>
    <w:rsid w:val="001C6B6C"/>
    <w:rsid w:val="001D24B6"/>
    <w:rsid w:val="001D467B"/>
    <w:rsid w:val="001D7A4E"/>
    <w:rsid w:val="001F3F6C"/>
    <w:rsid w:val="001F61F1"/>
    <w:rsid w:val="001F6C1B"/>
    <w:rsid w:val="001F772B"/>
    <w:rsid w:val="002007FE"/>
    <w:rsid w:val="00201BB9"/>
    <w:rsid w:val="00203DE7"/>
    <w:rsid w:val="0020504B"/>
    <w:rsid w:val="00210656"/>
    <w:rsid w:val="00210D35"/>
    <w:rsid w:val="00216DA1"/>
    <w:rsid w:val="002229E6"/>
    <w:rsid w:val="00231EBE"/>
    <w:rsid w:val="00241030"/>
    <w:rsid w:val="002557C2"/>
    <w:rsid w:val="00256AC8"/>
    <w:rsid w:val="00271FE7"/>
    <w:rsid w:val="0027210B"/>
    <w:rsid w:val="0027229D"/>
    <w:rsid w:val="00274C4A"/>
    <w:rsid w:val="00277FC6"/>
    <w:rsid w:val="0029127B"/>
    <w:rsid w:val="00297AAC"/>
    <w:rsid w:val="002A3584"/>
    <w:rsid w:val="002A52AF"/>
    <w:rsid w:val="002B5347"/>
    <w:rsid w:val="002B64D3"/>
    <w:rsid w:val="002C1E7F"/>
    <w:rsid w:val="002E31C6"/>
    <w:rsid w:val="002E4AE6"/>
    <w:rsid w:val="002F3658"/>
    <w:rsid w:val="00311101"/>
    <w:rsid w:val="00314DF8"/>
    <w:rsid w:val="00320DDB"/>
    <w:rsid w:val="00324074"/>
    <w:rsid w:val="00330343"/>
    <w:rsid w:val="003418B1"/>
    <w:rsid w:val="00344C17"/>
    <w:rsid w:val="0034789B"/>
    <w:rsid w:val="00351274"/>
    <w:rsid w:val="003559EA"/>
    <w:rsid w:val="003625C6"/>
    <w:rsid w:val="00363023"/>
    <w:rsid w:val="00364289"/>
    <w:rsid w:val="003656CC"/>
    <w:rsid w:val="00373236"/>
    <w:rsid w:val="003760CA"/>
    <w:rsid w:val="00395188"/>
    <w:rsid w:val="00396994"/>
    <w:rsid w:val="003A5F38"/>
    <w:rsid w:val="003B30C1"/>
    <w:rsid w:val="003B6734"/>
    <w:rsid w:val="003C1F2A"/>
    <w:rsid w:val="003C7E1C"/>
    <w:rsid w:val="003E411D"/>
    <w:rsid w:val="003F4606"/>
    <w:rsid w:val="004051ED"/>
    <w:rsid w:val="004059D8"/>
    <w:rsid w:val="00406A88"/>
    <w:rsid w:val="004114EA"/>
    <w:rsid w:val="00412D17"/>
    <w:rsid w:val="004152A5"/>
    <w:rsid w:val="004158EE"/>
    <w:rsid w:val="00415C21"/>
    <w:rsid w:val="004208BA"/>
    <w:rsid w:val="00421B57"/>
    <w:rsid w:val="004229F4"/>
    <w:rsid w:val="00423D0A"/>
    <w:rsid w:val="00434809"/>
    <w:rsid w:val="00436435"/>
    <w:rsid w:val="004429BE"/>
    <w:rsid w:val="004457D0"/>
    <w:rsid w:val="004572C6"/>
    <w:rsid w:val="00457E58"/>
    <w:rsid w:val="0046000D"/>
    <w:rsid w:val="004736EB"/>
    <w:rsid w:val="00477AFB"/>
    <w:rsid w:val="00487154"/>
    <w:rsid w:val="00494D90"/>
    <w:rsid w:val="004A0A0E"/>
    <w:rsid w:val="004A4965"/>
    <w:rsid w:val="004A4AE1"/>
    <w:rsid w:val="004A4FA4"/>
    <w:rsid w:val="004A5748"/>
    <w:rsid w:val="004A751A"/>
    <w:rsid w:val="004B38FD"/>
    <w:rsid w:val="004C66EF"/>
    <w:rsid w:val="004D1313"/>
    <w:rsid w:val="004D1DA2"/>
    <w:rsid w:val="004D6D97"/>
    <w:rsid w:val="004E3C7B"/>
    <w:rsid w:val="004E4D45"/>
    <w:rsid w:val="004F611B"/>
    <w:rsid w:val="005044CE"/>
    <w:rsid w:val="005066AD"/>
    <w:rsid w:val="005115A1"/>
    <w:rsid w:val="00522C0B"/>
    <w:rsid w:val="00525AEC"/>
    <w:rsid w:val="00526A3C"/>
    <w:rsid w:val="00532290"/>
    <w:rsid w:val="00534D60"/>
    <w:rsid w:val="00542040"/>
    <w:rsid w:val="00544329"/>
    <w:rsid w:val="005545AB"/>
    <w:rsid w:val="00555728"/>
    <w:rsid w:val="00563C00"/>
    <w:rsid w:val="00567FAE"/>
    <w:rsid w:val="00570AD2"/>
    <w:rsid w:val="00576EFB"/>
    <w:rsid w:val="0057712B"/>
    <w:rsid w:val="005851D7"/>
    <w:rsid w:val="005953CE"/>
    <w:rsid w:val="00596106"/>
    <w:rsid w:val="005A4B0D"/>
    <w:rsid w:val="005B01CA"/>
    <w:rsid w:val="005B0BE5"/>
    <w:rsid w:val="005B2D9F"/>
    <w:rsid w:val="005B39DF"/>
    <w:rsid w:val="005B7743"/>
    <w:rsid w:val="005C53A1"/>
    <w:rsid w:val="005D4183"/>
    <w:rsid w:val="005D6ACA"/>
    <w:rsid w:val="005E5C96"/>
    <w:rsid w:val="005E73BB"/>
    <w:rsid w:val="005F2724"/>
    <w:rsid w:val="005F794E"/>
    <w:rsid w:val="0060078C"/>
    <w:rsid w:val="00605173"/>
    <w:rsid w:val="00607C92"/>
    <w:rsid w:val="0063167C"/>
    <w:rsid w:val="00631B20"/>
    <w:rsid w:val="00641EE0"/>
    <w:rsid w:val="006478DE"/>
    <w:rsid w:val="006521BF"/>
    <w:rsid w:val="00654058"/>
    <w:rsid w:val="00654919"/>
    <w:rsid w:val="00656ED5"/>
    <w:rsid w:val="00665B25"/>
    <w:rsid w:val="00671107"/>
    <w:rsid w:val="00675B91"/>
    <w:rsid w:val="00677B59"/>
    <w:rsid w:val="00695B1B"/>
    <w:rsid w:val="006A5248"/>
    <w:rsid w:val="006A5282"/>
    <w:rsid w:val="006A5CFE"/>
    <w:rsid w:val="006A6A3D"/>
    <w:rsid w:val="006B2DE1"/>
    <w:rsid w:val="006B6534"/>
    <w:rsid w:val="006C39C9"/>
    <w:rsid w:val="006C5FC0"/>
    <w:rsid w:val="006E31A3"/>
    <w:rsid w:val="006E3C73"/>
    <w:rsid w:val="006F13C3"/>
    <w:rsid w:val="006F3874"/>
    <w:rsid w:val="006F54FE"/>
    <w:rsid w:val="00701E6E"/>
    <w:rsid w:val="00704917"/>
    <w:rsid w:val="00717905"/>
    <w:rsid w:val="00723368"/>
    <w:rsid w:val="007235AF"/>
    <w:rsid w:val="00723D9B"/>
    <w:rsid w:val="007253D6"/>
    <w:rsid w:val="00726941"/>
    <w:rsid w:val="00735D61"/>
    <w:rsid w:val="00742063"/>
    <w:rsid w:val="00746B31"/>
    <w:rsid w:val="007505BC"/>
    <w:rsid w:val="00753326"/>
    <w:rsid w:val="00754EEA"/>
    <w:rsid w:val="00761E08"/>
    <w:rsid w:val="00764D9D"/>
    <w:rsid w:val="0076751A"/>
    <w:rsid w:val="0077157C"/>
    <w:rsid w:val="00787521"/>
    <w:rsid w:val="007919F2"/>
    <w:rsid w:val="00792C87"/>
    <w:rsid w:val="007A0743"/>
    <w:rsid w:val="007A0DD3"/>
    <w:rsid w:val="007B1330"/>
    <w:rsid w:val="007B32D4"/>
    <w:rsid w:val="007B44B4"/>
    <w:rsid w:val="007B61D0"/>
    <w:rsid w:val="007B7469"/>
    <w:rsid w:val="007C2C42"/>
    <w:rsid w:val="007C366A"/>
    <w:rsid w:val="007D0EAF"/>
    <w:rsid w:val="007D1518"/>
    <w:rsid w:val="007E2282"/>
    <w:rsid w:val="007F10DD"/>
    <w:rsid w:val="007F1961"/>
    <w:rsid w:val="007F49D5"/>
    <w:rsid w:val="007F558F"/>
    <w:rsid w:val="008009DE"/>
    <w:rsid w:val="0081533E"/>
    <w:rsid w:val="00815770"/>
    <w:rsid w:val="008246A4"/>
    <w:rsid w:val="00825F6D"/>
    <w:rsid w:val="008354F9"/>
    <w:rsid w:val="00837F02"/>
    <w:rsid w:val="008417D6"/>
    <w:rsid w:val="008444C3"/>
    <w:rsid w:val="00844EB3"/>
    <w:rsid w:val="00845958"/>
    <w:rsid w:val="00846A7F"/>
    <w:rsid w:val="00853A9B"/>
    <w:rsid w:val="008607DB"/>
    <w:rsid w:val="0086302F"/>
    <w:rsid w:val="00866CF2"/>
    <w:rsid w:val="008724B0"/>
    <w:rsid w:val="00872BBB"/>
    <w:rsid w:val="00882038"/>
    <w:rsid w:val="00885564"/>
    <w:rsid w:val="008B23DA"/>
    <w:rsid w:val="008C094A"/>
    <w:rsid w:val="008C64BB"/>
    <w:rsid w:val="008D32CF"/>
    <w:rsid w:val="008E2F0E"/>
    <w:rsid w:val="008F0BAA"/>
    <w:rsid w:val="008F76FC"/>
    <w:rsid w:val="009017B4"/>
    <w:rsid w:val="00916D8D"/>
    <w:rsid w:val="0092135F"/>
    <w:rsid w:val="00926769"/>
    <w:rsid w:val="00931452"/>
    <w:rsid w:val="00931BA7"/>
    <w:rsid w:val="009325DD"/>
    <w:rsid w:val="00933AE6"/>
    <w:rsid w:val="00935139"/>
    <w:rsid w:val="0093522B"/>
    <w:rsid w:val="00935269"/>
    <w:rsid w:val="00941A5D"/>
    <w:rsid w:val="00943D70"/>
    <w:rsid w:val="009525EB"/>
    <w:rsid w:val="009650DE"/>
    <w:rsid w:val="00982054"/>
    <w:rsid w:val="009867BC"/>
    <w:rsid w:val="00995F4F"/>
    <w:rsid w:val="00997FB1"/>
    <w:rsid w:val="009B3E64"/>
    <w:rsid w:val="009B502E"/>
    <w:rsid w:val="009C3466"/>
    <w:rsid w:val="009D3A6E"/>
    <w:rsid w:val="009D6632"/>
    <w:rsid w:val="009E12F5"/>
    <w:rsid w:val="009E55B5"/>
    <w:rsid w:val="009F7674"/>
    <w:rsid w:val="00A03C86"/>
    <w:rsid w:val="00A07B24"/>
    <w:rsid w:val="00A14498"/>
    <w:rsid w:val="00A264F5"/>
    <w:rsid w:val="00A336F1"/>
    <w:rsid w:val="00A41D01"/>
    <w:rsid w:val="00A50ED9"/>
    <w:rsid w:val="00A56916"/>
    <w:rsid w:val="00A57FF5"/>
    <w:rsid w:val="00A6001A"/>
    <w:rsid w:val="00A60745"/>
    <w:rsid w:val="00A61326"/>
    <w:rsid w:val="00A6204D"/>
    <w:rsid w:val="00A711B4"/>
    <w:rsid w:val="00A71459"/>
    <w:rsid w:val="00A75D44"/>
    <w:rsid w:val="00A7602A"/>
    <w:rsid w:val="00A82EF7"/>
    <w:rsid w:val="00A92EA4"/>
    <w:rsid w:val="00AA4793"/>
    <w:rsid w:val="00AA6813"/>
    <w:rsid w:val="00AB1C10"/>
    <w:rsid w:val="00AD6873"/>
    <w:rsid w:val="00AD7790"/>
    <w:rsid w:val="00AE4A17"/>
    <w:rsid w:val="00B12E21"/>
    <w:rsid w:val="00B15900"/>
    <w:rsid w:val="00B2733A"/>
    <w:rsid w:val="00B301A7"/>
    <w:rsid w:val="00B30998"/>
    <w:rsid w:val="00B3172A"/>
    <w:rsid w:val="00B3271A"/>
    <w:rsid w:val="00B369FF"/>
    <w:rsid w:val="00B410FF"/>
    <w:rsid w:val="00B501DF"/>
    <w:rsid w:val="00B5355D"/>
    <w:rsid w:val="00B53879"/>
    <w:rsid w:val="00B6484F"/>
    <w:rsid w:val="00B655DE"/>
    <w:rsid w:val="00B7213E"/>
    <w:rsid w:val="00B75621"/>
    <w:rsid w:val="00B8080F"/>
    <w:rsid w:val="00B808B7"/>
    <w:rsid w:val="00B83E1F"/>
    <w:rsid w:val="00B910B8"/>
    <w:rsid w:val="00B91A6F"/>
    <w:rsid w:val="00B931FC"/>
    <w:rsid w:val="00B944D8"/>
    <w:rsid w:val="00BA25EF"/>
    <w:rsid w:val="00BD21F5"/>
    <w:rsid w:val="00BE2240"/>
    <w:rsid w:val="00BF03F1"/>
    <w:rsid w:val="00BF6733"/>
    <w:rsid w:val="00BF6DED"/>
    <w:rsid w:val="00C07013"/>
    <w:rsid w:val="00C10AC6"/>
    <w:rsid w:val="00C1498D"/>
    <w:rsid w:val="00C16901"/>
    <w:rsid w:val="00C172D3"/>
    <w:rsid w:val="00C21B80"/>
    <w:rsid w:val="00C21C54"/>
    <w:rsid w:val="00C2738B"/>
    <w:rsid w:val="00C3649D"/>
    <w:rsid w:val="00C41892"/>
    <w:rsid w:val="00C4690E"/>
    <w:rsid w:val="00C47BB4"/>
    <w:rsid w:val="00C556FF"/>
    <w:rsid w:val="00C55F37"/>
    <w:rsid w:val="00C601CC"/>
    <w:rsid w:val="00C61C42"/>
    <w:rsid w:val="00C70417"/>
    <w:rsid w:val="00C71EFA"/>
    <w:rsid w:val="00C7548A"/>
    <w:rsid w:val="00C86E23"/>
    <w:rsid w:val="00CA2A12"/>
    <w:rsid w:val="00CA7383"/>
    <w:rsid w:val="00CB272F"/>
    <w:rsid w:val="00CD3F0E"/>
    <w:rsid w:val="00CE1C98"/>
    <w:rsid w:val="00CE4C61"/>
    <w:rsid w:val="00D00B09"/>
    <w:rsid w:val="00D016D8"/>
    <w:rsid w:val="00D4537A"/>
    <w:rsid w:val="00D46367"/>
    <w:rsid w:val="00D54EEE"/>
    <w:rsid w:val="00D5565E"/>
    <w:rsid w:val="00D61233"/>
    <w:rsid w:val="00D70058"/>
    <w:rsid w:val="00D8664F"/>
    <w:rsid w:val="00D91369"/>
    <w:rsid w:val="00D94AD1"/>
    <w:rsid w:val="00DA28FE"/>
    <w:rsid w:val="00DB1382"/>
    <w:rsid w:val="00DB6620"/>
    <w:rsid w:val="00DC488B"/>
    <w:rsid w:val="00DD3275"/>
    <w:rsid w:val="00DD4519"/>
    <w:rsid w:val="00DE2C41"/>
    <w:rsid w:val="00DE2F0C"/>
    <w:rsid w:val="00E43CB6"/>
    <w:rsid w:val="00E47A4E"/>
    <w:rsid w:val="00E607B3"/>
    <w:rsid w:val="00E75733"/>
    <w:rsid w:val="00E82058"/>
    <w:rsid w:val="00E949D3"/>
    <w:rsid w:val="00E953D9"/>
    <w:rsid w:val="00EA1AD6"/>
    <w:rsid w:val="00EA26A1"/>
    <w:rsid w:val="00EB1668"/>
    <w:rsid w:val="00EB2366"/>
    <w:rsid w:val="00EB2E87"/>
    <w:rsid w:val="00EC6CBA"/>
    <w:rsid w:val="00ED4A84"/>
    <w:rsid w:val="00EE0051"/>
    <w:rsid w:val="00EE715C"/>
    <w:rsid w:val="00EF2FE5"/>
    <w:rsid w:val="00EF33B6"/>
    <w:rsid w:val="00F014ED"/>
    <w:rsid w:val="00F161D8"/>
    <w:rsid w:val="00F21AB9"/>
    <w:rsid w:val="00F23E1F"/>
    <w:rsid w:val="00F258D3"/>
    <w:rsid w:val="00F437C8"/>
    <w:rsid w:val="00F45EAA"/>
    <w:rsid w:val="00F60391"/>
    <w:rsid w:val="00F74FA0"/>
    <w:rsid w:val="00F76E34"/>
    <w:rsid w:val="00F77EAF"/>
    <w:rsid w:val="00F932D7"/>
    <w:rsid w:val="00F953F3"/>
    <w:rsid w:val="00FA38F5"/>
    <w:rsid w:val="00FA585A"/>
    <w:rsid w:val="00FB22E4"/>
    <w:rsid w:val="00FB34CF"/>
    <w:rsid w:val="00FC0B5B"/>
    <w:rsid w:val="00FD0C96"/>
    <w:rsid w:val="00FD1CEE"/>
    <w:rsid w:val="00FD2EE0"/>
    <w:rsid w:val="00FE09E3"/>
    <w:rsid w:val="00FE1F0C"/>
    <w:rsid w:val="00FE4283"/>
    <w:rsid w:val="00FE5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64FD83"/>
  <w15:docId w15:val="{8C8E0BDA-A012-48B9-AF24-04705B41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kern w:val="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7FF5"/>
    <w:pPr>
      <w:widowControl w:val="0"/>
      <w:jc w:val="both"/>
    </w:pPr>
  </w:style>
  <w:style w:type="paragraph" w:styleId="1">
    <w:name w:val="heading 1"/>
    <w:basedOn w:val="a"/>
    <w:next w:val="a"/>
    <w:link w:val="10"/>
    <w:uiPriority w:val="9"/>
    <w:qFormat/>
    <w:rsid w:val="00665B25"/>
    <w:pPr>
      <w:keepNext/>
      <w:jc w:val="left"/>
      <w:outlineLvl w:val="0"/>
    </w:pPr>
    <w:rPr>
      <w:rFonts w:eastAsia="Times New Roman" w:cstheme="majorBidi"/>
      <w:b/>
      <w:color w:val="000000" w:themeColor="text1"/>
      <w:sz w:val="28"/>
      <w:szCs w:val="24"/>
    </w:rPr>
  </w:style>
  <w:style w:type="paragraph" w:styleId="2">
    <w:name w:val="heading 2"/>
    <w:basedOn w:val="a"/>
    <w:next w:val="a"/>
    <w:link w:val="20"/>
    <w:uiPriority w:val="9"/>
    <w:unhideWhenUsed/>
    <w:qFormat/>
    <w:rsid w:val="006F13C3"/>
    <w:pPr>
      <w:keepNext/>
      <w:outlineLvl w:val="1"/>
    </w:pPr>
    <w:rPr>
      <w:rFonts w:eastAsia="Times New Roman"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5355D"/>
    <w:rPr>
      <w:sz w:val="18"/>
      <w:szCs w:val="18"/>
    </w:rPr>
  </w:style>
  <w:style w:type="paragraph" w:styleId="a4">
    <w:name w:val="annotation text"/>
    <w:basedOn w:val="a"/>
    <w:link w:val="a5"/>
    <w:uiPriority w:val="99"/>
    <w:semiHidden/>
    <w:unhideWhenUsed/>
    <w:rsid w:val="00B5355D"/>
    <w:pPr>
      <w:jc w:val="left"/>
    </w:pPr>
  </w:style>
  <w:style w:type="character" w:customStyle="1" w:styleId="a5">
    <w:name w:val="コメント文字列 (文字)"/>
    <w:basedOn w:val="a0"/>
    <w:link w:val="a4"/>
    <w:uiPriority w:val="99"/>
    <w:semiHidden/>
    <w:rsid w:val="00B5355D"/>
  </w:style>
  <w:style w:type="paragraph" w:styleId="a6">
    <w:name w:val="annotation subject"/>
    <w:basedOn w:val="a4"/>
    <w:next w:val="a4"/>
    <w:link w:val="a7"/>
    <w:uiPriority w:val="99"/>
    <w:semiHidden/>
    <w:unhideWhenUsed/>
    <w:rsid w:val="00B5355D"/>
    <w:rPr>
      <w:b/>
      <w:bCs/>
    </w:rPr>
  </w:style>
  <w:style w:type="character" w:customStyle="1" w:styleId="a7">
    <w:name w:val="コメント内容 (文字)"/>
    <w:basedOn w:val="a5"/>
    <w:link w:val="a6"/>
    <w:uiPriority w:val="99"/>
    <w:semiHidden/>
    <w:rsid w:val="00B5355D"/>
    <w:rPr>
      <w:b/>
      <w:bCs/>
    </w:rPr>
  </w:style>
  <w:style w:type="paragraph" w:styleId="a8">
    <w:name w:val="Revision"/>
    <w:hidden/>
    <w:uiPriority w:val="99"/>
    <w:semiHidden/>
    <w:rsid w:val="00B5355D"/>
  </w:style>
  <w:style w:type="paragraph" w:styleId="a9">
    <w:name w:val="Balloon Text"/>
    <w:basedOn w:val="a"/>
    <w:link w:val="aa"/>
    <w:uiPriority w:val="99"/>
    <w:semiHidden/>
    <w:unhideWhenUsed/>
    <w:rsid w:val="00B5355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5355D"/>
    <w:rPr>
      <w:rFonts w:asciiTheme="majorHAnsi" w:eastAsiaTheme="majorEastAsia" w:hAnsiTheme="majorHAnsi" w:cstheme="majorBidi"/>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13129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b"/>
    <w:rsid w:val="00131295"/>
  </w:style>
  <w:style w:type="paragraph" w:styleId="ad">
    <w:name w:val="footer"/>
    <w:basedOn w:val="a"/>
    <w:link w:val="ae"/>
    <w:uiPriority w:val="99"/>
    <w:unhideWhenUsed/>
    <w:rsid w:val="00131295"/>
    <w:pPr>
      <w:tabs>
        <w:tab w:val="center" w:pos="4252"/>
        <w:tab w:val="right" w:pos="8504"/>
      </w:tabs>
      <w:snapToGrid w:val="0"/>
    </w:pPr>
  </w:style>
  <w:style w:type="character" w:customStyle="1" w:styleId="ae">
    <w:name w:val="フッター (文字)"/>
    <w:basedOn w:val="a0"/>
    <w:link w:val="ad"/>
    <w:uiPriority w:val="99"/>
    <w:rsid w:val="00131295"/>
  </w:style>
  <w:style w:type="paragraph" w:styleId="af">
    <w:name w:val="List Paragraph"/>
    <w:basedOn w:val="a"/>
    <w:link w:val="af0"/>
    <w:uiPriority w:val="34"/>
    <w:qFormat/>
    <w:rsid w:val="006B2DE1"/>
    <w:pPr>
      <w:ind w:leftChars="400" w:left="840"/>
    </w:pPr>
  </w:style>
  <w:style w:type="character" w:customStyle="1" w:styleId="af0">
    <w:name w:val="リスト段落 (文字)"/>
    <w:link w:val="af"/>
    <w:uiPriority w:val="34"/>
    <w:locked/>
    <w:rsid w:val="00EA1AD6"/>
  </w:style>
  <w:style w:type="paragraph" w:customStyle="1" w:styleId="Bulletedo1">
    <w:name w:val="Bulleted o 1"/>
    <w:basedOn w:val="a"/>
    <w:rsid w:val="00EA1AD6"/>
    <w:pPr>
      <w:widowControl/>
      <w:numPr>
        <w:numId w:val="2"/>
      </w:numPr>
      <w:overflowPunct w:val="0"/>
      <w:autoSpaceDE w:val="0"/>
      <w:autoSpaceDN w:val="0"/>
      <w:adjustRightInd w:val="0"/>
      <w:spacing w:before="120" w:after="120"/>
      <w:jc w:val="left"/>
      <w:textAlignment w:val="baseline"/>
    </w:pPr>
    <w:rPr>
      <w:rFonts w:eastAsia="SimSun"/>
      <w:kern w:val="0"/>
      <w:lang w:val="en-GB" w:eastAsia="en-US"/>
    </w:rPr>
  </w:style>
  <w:style w:type="character" w:customStyle="1" w:styleId="10">
    <w:name w:val="見出し 1 (文字)"/>
    <w:basedOn w:val="a0"/>
    <w:link w:val="1"/>
    <w:uiPriority w:val="9"/>
    <w:rsid w:val="00665B25"/>
    <w:rPr>
      <w:rFonts w:eastAsia="Times New Roman" w:cstheme="majorBidi"/>
      <w:b/>
      <w:color w:val="000000" w:themeColor="text1"/>
      <w:sz w:val="28"/>
      <w:szCs w:val="24"/>
    </w:rPr>
  </w:style>
  <w:style w:type="character" w:customStyle="1" w:styleId="20">
    <w:name w:val="見出し 2 (文字)"/>
    <w:basedOn w:val="a0"/>
    <w:link w:val="2"/>
    <w:uiPriority w:val="9"/>
    <w:rsid w:val="006F13C3"/>
    <w:rPr>
      <w:rFonts w:eastAsia="Times New Roman" w:cstheme="majorBidi"/>
      <w:b/>
      <w:sz w:val="24"/>
    </w:rPr>
  </w:style>
  <w:style w:type="table" w:styleId="af1">
    <w:name w:val="Table Grid"/>
    <w:basedOn w:val="a1"/>
    <w:uiPriority w:val="39"/>
    <w:rsid w:val="00641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6478DE"/>
    <w:rPr>
      <w:rFonts w:ascii="SimSun" w:eastAsia="SimSun"/>
      <w:sz w:val="18"/>
      <w:szCs w:val="18"/>
    </w:rPr>
  </w:style>
  <w:style w:type="character" w:customStyle="1" w:styleId="af3">
    <w:name w:val="見出しマップ (文字)"/>
    <w:basedOn w:val="a0"/>
    <w:link w:val="af2"/>
    <w:uiPriority w:val="99"/>
    <w:semiHidden/>
    <w:rsid w:val="006478DE"/>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20010">
      <w:bodyDiv w:val="1"/>
      <w:marLeft w:val="0"/>
      <w:marRight w:val="0"/>
      <w:marTop w:val="0"/>
      <w:marBottom w:val="0"/>
      <w:divBdr>
        <w:top w:val="none" w:sz="0" w:space="0" w:color="auto"/>
        <w:left w:val="none" w:sz="0" w:space="0" w:color="auto"/>
        <w:bottom w:val="none" w:sz="0" w:space="0" w:color="auto"/>
        <w:right w:val="none" w:sz="0" w:space="0" w:color="auto"/>
      </w:divBdr>
    </w:div>
    <w:div w:id="148980673">
      <w:bodyDiv w:val="1"/>
      <w:marLeft w:val="0"/>
      <w:marRight w:val="0"/>
      <w:marTop w:val="0"/>
      <w:marBottom w:val="0"/>
      <w:divBdr>
        <w:top w:val="none" w:sz="0" w:space="0" w:color="auto"/>
        <w:left w:val="none" w:sz="0" w:space="0" w:color="auto"/>
        <w:bottom w:val="none" w:sz="0" w:space="0" w:color="auto"/>
        <w:right w:val="none" w:sz="0" w:space="0" w:color="auto"/>
      </w:divBdr>
    </w:div>
    <w:div w:id="220941202">
      <w:bodyDiv w:val="1"/>
      <w:marLeft w:val="0"/>
      <w:marRight w:val="0"/>
      <w:marTop w:val="0"/>
      <w:marBottom w:val="0"/>
      <w:divBdr>
        <w:top w:val="none" w:sz="0" w:space="0" w:color="auto"/>
        <w:left w:val="none" w:sz="0" w:space="0" w:color="auto"/>
        <w:bottom w:val="none" w:sz="0" w:space="0" w:color="auto"/>
        <w:right w:val="none" w:sz="0" w:space="0" w:color="auto"/>
      </w:divBdr>
      <w:divsChild>
        <w:div w:id="269707045">
          <w:marLeft w:val="360"/>
          <w:marRight w:val="0"/>
          <w:marTop w:val="200"/>
          <w:marBottom w:val="0"/>
          <w:divBdr>
            <w:top w:val="none" w:sz="0" w:space="0" w:color="auto"/>
            <w:left w:val="none" w:sz="0" w:space="0" w:color="auto"/>
            <w:bottom w:val="none" w:sz="0" w:space="0" w:color="auto"/>
            <w:right w:val="none" w:sz="0" w:space="0" w:color="auto"/>
          </w:divBdr>
        </w:div>
        <w:div w:id="1292203709">
          <w:marLeft w:val="360"/>
          <w:marRight w:val="0"/>
          <w:marTop w:val="200"/>
          <w:marBottom w:val="0"/>
          <w:divBdr>
            <w:top w:val="none" w:sz="0" w:space="0" w:color="auto"/>
            <w:left w:val="none" w:sz="0" w:space="0" w:color="auto"/>
            <w:bottom w:val="none" w:sz="0" w:space="0" w:color="auto"/>
            <w:right w:val="none" w:sz="0" w:space="0" w:color="auto"/>
          </w:divBdr>
        </w:div>
        <w:div w:id="701635708">
          <w:marLeft w:val="1080"/>
          <w:marRight w:val="0"/>
          <w:marTop w:val="100"/>
          <w:marBottom w:val="0"/>
          <w:divBdr>
            <w:top w:val="none" w:sz="0" w:space="0" w:color="auto"/>
            <w:left w:val="none" w:sz="0" w:space="0" w:color="auto"/>
            <w:bottom w:val="none" w:sz="0" w:space="0" w:color="auto"/>
            <w:right w:val="none" w:sz="0" w:space="0" w:color="auto"/>
          </w:divBdr>
        </w:div>
        <w:div w:id="1983383655">
          <w:marLeft w:val="1800"/>
          <w:marRight w:val="0"/>
          <w:marTop w:val="100"/>
          <w:marBottom w:val="0"/>
          <w:divBdr>
            <w:top w:val="none" w:sz="0" w:space="0" w:color="auto"/>
            <w:left w:val="none" w:sz="0" w:space="0" w:color="auto"/>
            <w:bottom w:val="none" w:sz="0" w:space="0" w:color="auto"/>
            <w:right w:val="none" w:sz="0" w:space="0" w:color="auto"/>
          </w:divBdr>
        </w:div>
        <w:div w:id="515576811">
          <w:marLeft w:val="1080"/>
          <w:marRight w:val="0"/>
          <w:marTop w:val="100"/>
          <w:marBottom w:val="0"/>
          <w:divBdr>
            <w:top w:val="none" w:sz="0" w:space="0" w:color="auto"/>
            <w:left w:val="none" w:sz="0" w:space="0" w:color="auto"/>
            <w:bottom w:val="none" w:sz="0" w:space="0" w:color="auto"/>
            <w:right w:val="none" w:sz="0" w:space="0" w:color="auto"/>
          </w:divBdr>
        </w:div>
        <w:div w:id="907612959">
          <w:marLeft w:val="1800"/>
          <w:marRight w:val="0"/>
          <w:marTop w:val="100"/>
          <w:marBottom w:val="0"/>
          <w:divBdr>
            <w:top w:val="none" w:sz="0" w:space="0" w:color="auto"/>
            <w:left w:val="none" w:sz="0" w:space="0" w:color="auto"/>
            <w:bottom w:val="none" w:sz="0" w:space="0" w:color="auto"/>
            <w:right w:val="none" w:sz="0" w:space="0" w:color="auto"/>
          </w:divBdr>
        </w:div>
        <w:div w:id="1075737809">
          <w:marLeft w:val="1080"/>
          <w:marRight w:val="0"/>
          <w:marTop w:val="100"/>
          <w:marBottom w:val="0"/>
          <w:divBdr>
            <w:top w:val="none" w:sz="0" w:space="0" w:color="auto"/>
            <w:left w:val="none" w:sz="0" w:space="0" w:color="auto"/>
            <w:bottom w:val="none" w:sz="0" w:space="0" w:color="auto"/>
            <w:right w:val="none" w:sz="0" w:space="0" w:color="auto"/>
          </w:divBdr>
        </w:div>
        <w:div w:id="763038927">
          <w:marLeft w:val="1800"/>
          <w:marRight w:val="0"/>
          <w:marTop w:val="100"/>
          <w:marBottom w:val="0"/>
          <w:divBdr>
            <w:top w:val="none" w:sz="0" w:space="0" w:color="auto"/>
            <w:left w:val="none" w:sz="0" w:space="0" w:color="auto"/>
            <w:bottom w:val="none" w:sz="0" w:space="0" w:color="auto"/>
            <w:right w:val="none" w:sz="0" w:space="0" w:color="auto"/>
          </w:divBdr>
        </w:div>
        <w:div w:id="604309109">
          <w:marLeft w:val="1080"/>
          <w:marRight w:val="0"/>
          <w:marTop w:val="100"/>
          <w:marBottom w:val="0"/>
          <w:divBdr>
            <w:top w:val="none" w:sz="0" w:space="0" w:color="auto"/>
            <w:left w:val="none" w:sz="0" w:space="0" w:color="auto"/>
            <w:bottom w:val="none" w:sz="0" w:space="0" w:color="auto"/>
            <w:right w:val="none" w:sz="0" w:space="0" w:color="auto"/>
          </w:divBdr>
        </w:div>
        <w:div w:id="498276239">
          <w:marLeft w:val="1800"/>
          <w:marRight w:val="0"/>
          <w:marTop w:val="100"/>
          <w:marBottom w:val="0"/>
          <w:divBdr>
            <w:top w:val="none" w:sz="0" w:space="0" w:color="auto"/>
            <w:left w:val="none" w:sz="0" w:space="0" w:color="auto"/>
            <w:bottom w:val="none" w:sz="0" w:space="0" w:color="auto"/>
            <w:right w:val="none" w:sz="0" w:space="0" w:color="auto"/>
          </w:divBdr>
        </w:div>
        <w:div w:id="1036201867">
          <w:marLeft w:val="360"/>
          <w:marRight w:val="0"/>
          <w:marTop w:val="200"/>
          <w:marBottom w:val="0"/>
          <w:divBdr>
            <w:top w:val="none" w:sz="0" w:space="0" w:color="auto"/>
            <w:left w:val="none" w:sz="0" w:space="0" w:color="auto"/>
            <w:bottom w:val="none" w:sz="0" w:space="0" w:color="auto"/>
            <w:right w:val="none" w:sz="0" w:space="0" w:color="auto"/>
          </w:divBdr>
        </w:div>
      </w:divsChild>
    </w:div>
    <w:div w:id="277571542">
      <w:bodyDiv w:val="1"/>
      <w:marLeft w:val="0"/>
      <w:marRight w:val="0"/>
      <w:marTop w:val="0"/>
      <w:marBottom w:val="0"/>
      <w:divBdr>
        <w:top w:val="none" w:sz="0" w:space="0" w:color="auto"/>
        <w:left w:val="none" w:sz="0" w:space="0" w:color="auto"/>
        <w:bottom w:val="none" w:sz="0" w:space="0" w:color="auto"/>
        <w:right w:val="none" w:sz="0" w:space="0" w:color="auto"/>
      </w:divBdr>
    </w:div>
    <w:div w:id="413019486">
      <w:bodyDiv w:val="1"/>
      <w:marLeft w:val="0"/>
      <w:marRight w:val="0"/>
      <w:marTop w:val="0"/>
      <w:marBottom w:val="0"/>
      <w:divBdr>
        <w:top w:val="none" w:sz="0" w:space="0" w:color="auto"/>
        <w:left w:val="none" w:sz="0" w:space="0" w:color="auto"/>
        <w:bottom w:val="none" w:sz="0" w:space="0" w:color="auto"/>
        <w:right w:val="none" w:sz="0" w:space="0" w:color="auto"/>
      </w:divBdr>
    </w:div>
    <w:div w:id="461268342">
      <w:bodyDiv w:val="1"/>
      <w:marLeft w:val="0"/>
      <w:marRight w:val="0"/>
      <w:marTop w:val="0"/>
      <w:marBottom w:val="0"/>
      <w:divBdr>
        <w:top w:val="none" w:sz="0" w:space="0" w:color="auto"/>
        <w:left w:val="none" w:sz="0" w:space="0" w:color="auto"/>
        <w:bottom w:val="none" w:sz="0" w:space="0" w:color="auto"/>
        <w:right w:val="none" w:sz="0" w:space="0" w:color="auto"/>
      </w:divBdr>
      <w:divsChild>
        <w:div w:id="350257020">
          <w:marLeft w:val="360"/>
          <w:marRight w:val="0"/>
          <w:marTop w:val="0"/>
          <w:marBottom w:val="0"/>
          <w:divBdr>
            <w:top w:val="none" w:sz="0" w:space="0" w:color="auto"/>
            <w:left w:val="none" w:sz="0" w:space="0" w:color="auto"/>
            <w:bottom w:val="none" w:sz="0" w:space="0" w:color="auto"/>
            <w:right w:val="none" w:sz="0" w:space="0" w:color="auto"/>
          </w:divBdr>
        </w:div>
        <w:div w:id="1905986579">
          <w:marLeft w:val="360"/>
          <w:marRight w:val="0"/>
          <w:marTop w:val="0"/>
          <w:marBottom w:val="0"/>
          <w:divBdr>
            <w:top w:val="none" w:sz="0" w:space="0" w:color="auto"/>
            <w:left w:val="none" w:sz="0" w:space="0" w:color="auto"/>
            <w:bottom w:val="none" w:sz="0" w:space="0" w:color="auto"/>
            <w:right w:val="none" w:sz="0" w:space="0" w:color="auto"/>
          </w:divBdr>
        </w:div>
        <w:div w:id="1184052646">
          <w:marLeft w:val="360"/>
          <w:marRight w:val="0"/>
          <w:marTop w:val="0"/>
          <w:marBottom w:val="0"/>
          <w:divBdr>
            <w:top w:val="none" w:sz="0" w:space="0" w:color="auto"/>
            <w:left w:val="none" w:sz="0" w:space="0" w:color="auto"/>
            <w:bottom w:val="none" w:sz="0" w:space="0" w:color="auto"/>
            <w:right w:val="none" w:sz="0" w:space="0" w:color="auto"/>
          </w:divBdr>
        </w:div>
        <w:div w:id="392630747">
          <w:marLeft w:val="360"/>
          <w:marRight w:val="0"/>
          <w:marTop w:val="0"/>
          <w:marBottom w:val="0"/>
          <w:divBdr>
            <w:top w:val="none" w:sz="0" w:space="0" w:color="auto"/>
            <w:left w:val="none" w:sz="0" w:space="0" w:color="auto"/>
            <w:bottom w:val="none" w:sz="0" w:space="0" w:color="auto"/>
            <w:right w:val="none" w:sz="0" w:space="0" w:color="auto"/>
          </w:divBdr>
        </w:div>
      </w:divsChild>
    </w:div>
    <w:div w:id="475487642">
      <w:bodyDiv w:val="1"/>
      <w:marLeft w:val="0"/>
      <w:marRight w:val="0"/>
      <w:marTop w:val="0"/>
      <w:marBottom w:val="0"/>
      <w:divBdr>
        <w:top w:val="none" w:sz="0" w:space="0" w:color="auto"/>
        <w:left w:val="none" w:sz="0" w:space="0" w:color="auto"/>
        <w:bottom w:val="none" w:sz="0" w:space="0" w:color="auto"/>
        <w:right w:val="none" w:sz="0" w:space="0" w:color="auto"/>
      </w:divBdr>
    </w:div>
    <w:div w:id="582832684">
      <w:bodyDiv w:val="1"/>
      <w:marLeft w:val="0"/>
      <w:marRight w:val="0"/>
      <w:marTop w:val="0"/>
      <w:marBottom w:val="0"/>
      <w:divBdr>
        <w:top w:val="none" w:sz="0" w:space="0" w:color="auto"/>
        <w:left w:val="none" w:sz="0" w:space="0" w:color="auto"/>
        <w:bottom w:val="none" w:sz="0" w:space="0" w:color="auto"/>
        <w:right w:val="none" w:sz="0" w:space="0" w:color="auto"/>
      </w:divBdr>
      <w:divsChild>
        <w:div w:id="1023946342">
          <w:marLeft w:val="1800"/>
          <w:marRight w:val="0"/>
          <w:marTop w:val="100"/>
          <w:marBottom w:val="0"/>
          <w:divBdr>
            <w:top w:val="none" w:sz="0" w:space="0" w:color="auto"/>
            <w:left w:val="none" w:sz="0" w:space="0" w:color="auto"/>
            <w:bottom w:val="none" w:sz="0" w:space="0" w:color="auto"/>
            <w:right w:val="none" w:sz="0" w:space="0" w:color="auto"/>
          </w:divBdr>
        </w:div>
        <w:div w:id="1963414118">
          <w:marLeft w:val="1800"/>
          <w:marRight w:val="0"/>
          <w:marTop w:val="100"/>
          <w:marBottom w:val="0"/>
          <w:divBdr>
            <w:top w:val="none" w:sz="0" w:space="0" w:color="auto"/>
            <w:left w:val="none" w:sz="0" w:space="0" w:color="auto"/>
            <w:bottom w:val="none" w:sz="0" w:space="0" w:color="auto"/>
            <w:right w:val="none" w:sz="0" w:space="0" w:color="auto"/>
          </w:divBdr>
        </w:div>
      </w:divsChild>
    </w:div>
    <w:div w:id="619530076">
      <w:bodyDiv w:val="1"/>
      <w:marLeft w:val="0"/>
      <w:marRight w:val="0"/>
      <w:marTop w:val="0"/>
      <w:marBottom w:val="0"/>
      <w:divBdr>
        <w:top w:val="none" w:sz="0" w:space="0" w:color="auto"/>
        <w:left w:val="none" w:sz="0" w:space="0" w:color="auto"/>
        <w:bottom w:val="none" w:sz="0" w:space="0" w:color="auto"/>
        <w:right w:val="none" w:sz="0" w:space="0" w:color="auto"/>
      </w:divBdr>
      <w:divsChild>
        <w:div w:id="1962955262">
          <w:marLeft w:val="1166"/>
          <w:marRight w:val="0"/>
          <w:marTop w:val="106"/>
          <w:marBottom w:val="0"/>
          <w:divBdr>
            <w:top w:val="none" w:sz="0" w:space="0" w:color="auto"/>
            <w:left w:val="none" w:sz="0" w:space="0" w:color="auto"/>
            <w:bottom w:val="none" w:sz="0" w:space="0" w:color="auto"/>
            <w:right w:val="none" w:sz="0" w:space="0" w:color="auto"/>
          </w:divBdr>
        </w:div>
      </w:divsChild>
    </w:div>
    <w:div w:id="659310321">
      <w:bodyDiv w:val="1"/>
      <w:marLeft w:val="0"/>
      <w:marRight w:val="0"/>
      <w:marTop w:val="0"/>
      <w:marBottom w:val="0"/>
      <w:divBdr>
        <w:top w:val="none" w:sz="0" w:space="0" w:color="auto"/>
        <w:left w:val="none" w:sz="0" w:space="0" w:color="auto"/>
        <w:bottom w:val="none" w:sz="0" w:space="0" w:color="auto"/>
        <w:right w:val="none" w:sz="0" w:space="0" w:color="auto"/>
      </w:divBdr>
    </w:div>
    <w:div w:id="688533781">
      <w:bodyDiv w:val="1"/>
      <w:marLeft w:val="0"/>
      <w:marRight w:val="0"/>
      <w:marTop w:val="0"/>
      <w:marBottom w:val="0"/>
      <w:divBdr>
        <w:top w:val="none" w:sz="0" w:space="0" w:color="auto"/>
        <w:left w:val="none" w:sz="0" w:space="0" w:color="auto"/>
        <w:bottom w:val="none" w:sz="0" w:space="0" w:color="auto"/>
        <w:right w:val="none" w:sz="0" w:space="0" w:color="auto"/>
      </w:divBdr>
      <w:divsChild>
        <w:div w:id="651253076">
          <w:marLeft w:val="360"/>
          <w:marRight w:val="0"/>
          <w:marTop w:val="200"/>
          <w:marBottom w:val="0"/>
          <w:divBdr>
            <w:top w:val="none" w:sz="0" w:space="0" w:color="auto"/>
            <w:left w:val="none" w:sz="0" w:space="0" w:color="auto"/>
            <w:bottom w:val="none" w:sz="0" w:space="0" w:color="auto"/>
            <w:right w:val="none" w:sz="0" w:space="0" w:color="auto"/>
          </w:divBdr>
        </w:div>
        <w:div w:id="962882717">
          <w:marLeft w:val="360"/>
          <w:marRight w:val="0"/>
          <w:marTop w:val="200"/>
          <w:marBottom w:val="0"/>
          <w:divBdr>
            <w:top w:val="none" w:sz="0" w:space="0" w:color="auto"/>
            <w:left w:val="none" w:sz="0" w:space="0" w:color="auto"/>
            <w:bottom w:val="none" w:sz="0" w:space="0" w:color="auto"/>
            <w:right w:val="none" w:sz="0" w:space="0" w:color="auto"/>
          </w:divBdr>
        </w:div>
        <w:div w:id="1850021817">
          <w:marLeft w:val="1080"/>
          <w:marRight w:val="0"/>
          <w:marTop w:val="100"/>
          <w:marBottom w:val="0"/>
          <w:divBdr>
            <w:top w:val="none" w:sz="0" w:space="0" w:color="auto"/>
            <w:left w:val="none" w:sz="0" w:space="0" w:color="auto"/>
            <w:bottom w:val="none" w:sz="0" w:space="0" w:color="auto"/>
            <w:right w:val="none" w:sz="0" w:space="0" w:color="auto"/>
          </w:divBdr>
        </w:div>
        <w:div w:id="578248803">
          <w:marLeft w:val="1800"/>
          <w:marRight w:val="0"/>
          <w:marTop w:val="100"/>
          <w:marBottom w:val="0"/>
          <w:divBdr>
            <w:top w:val="none" w:sz="0" w:space="0" w:color="auto"/>
            <w:left w:val="none" w:sz="0" w:space="0" w:color="auto"/>
            <w:bottom w:val="none" w:sz="0" w:space="0" w:color="auto"/>
            <w:right w:val="none" w:sz="0" w:space="0" w:color="auto"/>
          </w:divBdr>
        </w:div>
        <w:div w:id="1454904515">
          <w:marLeft w:val="1080"/>
          <w:marRight w:val="0"/>
          <w:marTop w:val="100"/>
          <w:marBottom w:val="0"/>
          <w:divBdr>
            <w:top w:val="none" w:sz="0" w:space="0" w:color="auto"/>
            <w:left w:val="none" w:sz="0" w:space="0" w:color="auto"/>
            <w:bottom w:val="none" w:sz="0" w:space="0" w:color="auto"/>
            <w:right w:val="none" w:sz="0" w:space="0" w:color="auto"/>
          </w:divBdr>
        </w:div>
        <w:div w:id="285934358">
          <w:marLeft w:val="1800"/>
          <w:marRight w:val="0"/>
          <w:marTop w:val="100"/>
          <w:marBottom w:val="0"/>
          <w:divBdr>
            <w:top w:val="none" w:sz="0" w:space="0" w:color="auto"/>
            <w:left w:val="none" w:sz="0" w:space="0" w:color="auto"/>
            <w:bottom w:val="none" w:sz="0" w:space="0" w:color="auto"/>
            <w:right w:val="none" w:sz="0" w:space="0" w:color="auto"/>
          </w:divBdr>
        </w:div>
        <w:div w:id="755244587">
          <w:marLeft w:val="1080"/>
          <w:marRight w:val="0"/>
          <w:marTop w:val="100"/>
          <w:marBottom w:val="0"/>
          <w:divBdr>
            <w:top w:val="none" w:sz="0" w:space="0" w:color="auto"/>
            <w:left w:val="none" w:sz="0" w:space="0" w:color="auto"/>
            <w:bottom w:val="none" w:sz="0" w:space="0" w:color="auto"/>
            <w:right w:val="none" w:sz="0" w:space="0" w:color="auto"/>
          </w:divBdr>
        </w:div>
        <w:div w:id="1704987331">
          <w:marLeft w:val="1800"/>
          <w:marRight w:val="0"/>
          <w:marTop w:val="100"/>
          <w:marBottom w:val="0"/>
          <w:divBdr>
            <w:top w:val="none" w:sz="0" w:space="0" w:color="auto"/>
            <w:left w:val="none" w:sz="0" w:space="0" w:color="auto"/>
            <w:bottom w:val="none" w:sz="0" w:space="0" w:color="auto"/>
            <w:right w:val="none" w:sz="0" w:space="0" w:color="auto"/>
          </w:divBdr>
        </w:div>
        <w:div w:id="1611693825">
          <w:marLeft w:val="1080"/>
          <w:marRight w:val="0"/>
          <w:marTop w:val="100"/>
          <w:marBottom w:val="0"/>
          <w:divBdr>
            <w:top w:val="none" w:sz="0" w:space="0" w:color="auto"/>
            <w:left w:val="none" w:sz="0" w:space="0" w:color="auto"/>
            <w:bottom w:val="none" w:sz="0" w:space="0" w:color="auto"/>
            <w:right w:val="none" w:sz="0" w:space="0" w:color="auto"/>
          </w:divBdr>
        </w:div>
        <w:div w:id="2125028425">
          <w:marLeft w:val="1800"/>
          <w:marRight w:val="0"/>
          <w:marTop w:val="100"/>
          <w:marBottom w:val="0"/>
          <w:divBdr>
            <w:top w:val="none" w:sz="0" w:space="0" w:color="auto"/>
            <w:left w:val="none" w:sz="0" w:space="0" w:color="auto"/>
            <w:bottom w:val="none" w:sz="0" w:space="0" w:color="auto"/>
            <w:right w:val="none" w:sz="0" w:space="0" w:color="auto"/>
          </w:divBdr>
        </w:div>
        <w:div w:id="855341823">
          <w:marLeft w:val="360"/>
          <w:marRight w:val="0"/>
          <w:marTop w:val="200"/>
          <w:marBottom w:val="0"/>
          <w:divBdr>
            <w:top w:val="none" w:sz="0" w:space="0" w:color="auto"/>
            <w:left w:val="none" w:sz="0" w:space="0" w:color="auto"/>
            <w:bottom w:val="none" w:sz="0" w:space="0" w:color="auto"/>
            <w:right w:val="none" w:sz="0" w:space="0" w:color="auto"/>
          </w:divBdr>
        </w:div>
      </w:divsChild>
    </w:div>
    <w:div w:id="851073351">
      <w:bodyDiv w:val="1"/>
      <w:marLeft w:val="0"/>
      <w:marRight w:val="0"/>
      <w:marTop w:val="0"/>
      <w:marBottom w:val="0"/>
      <w:divBdr>
        <w:top w:val="none" w:sz="0" w:space="0" w:color="auto"/>
        <w:left w:val="none" w:sz="0" w:space="0" w:color="auto"/>
        <w:bottom w:val="none" w:sz="0" w:space="0" w:color="auto"/>
        <w:right w:val="none" w:sz="0" w:space="0" w:color="auto"/>
      </w:divBdr>
    </w:div>
    <w:div w:id="874807074">
      <w:bodyDiv w:val="1"/>
      <w:marLeft w:val="0"/>
      <w:marRight w:val="0"/>
      <w:marTop w:val="0"/>
      <w:marBottom w:val="0"/>
      <w:divBdr>
        <w:top w:val="none" w:sz="0" w:space="0" w:color="auto"/>
        <w:left w:val="none" w:sz="0" w:space="0" w:color="auto"/>
        <w:bottom w:val="none" w:sz="0" w:space="0" w:color="auto"/>
        <w:right w:val="none" w:sz="0" w:space="0" w:color="auto"/>
      </w:divBdr>
    </w:div>
    <w:div w:id="889654046">
      <w:bodyDiv w:val="1"/>
      <w:marLeft w:val="0"/>
      <w:marRight w:val="0"/>
      <w:marTop w:val="0"/>
      <w:marBottom w:val="0"/>
      <w:divBdr>
        <w:top w:val="none" w:sz="0" w:space="0" w:color="auto"/>
        <w:left w:val="none" w:sz="0" w:space="0" w:color="auto"/>
        <w:bottom w:val="none" w:sz="0" w:space="0" w:color="auto"/>
        <w:right w:val="none" w:sz="0" w:space="0" w:color="auto"/>
      </w:divBdr>
    </w:div>
    <w:div w:id="892423653">
      <w:bodyDiv w:val="1"/>
      <w:marLeft w:val="0"/>
      <w:marRight w:val="0"/>
      <w:marTop w:val="0"/>
      <w:marBottom w:val="0"/>
      <w:divBdr>
        <w:top w:val="none" w:sz="0" w:space="0" w:color="auto"/>
        <w:left w:val="none" w:sz="0" w:space="0" w:color="auto"/>
        <w:bottom w:val="none" w:sz="0" w:space="0" w:color="auto"/>
        <w:right w:val="none" w:sz="0" w:space="0" w:color="auto"/>
      </w:divBdr>
    </w:div>
    <w:div w:id="958032530">
      <w:bodyDiv w:val="1"/>
      <w:marLeft w:val="0"/>
      <w:marRight w:val="0"/>
      <w:marTop w:val="0"/>
      <w:marBottom w:val="0"/>
      <w:divBdr>
        <w:top w:val="none" w:sz="0" w:space="0" w:color="auto"/>
        <w:left w:val="none" w:sz="0" w:space="0" w:color="auto"/>
        <w:bottom w:val="none" w:sz="0" w:space="0" w:color="auto"/>
        <w:right w:val="none" w:sz="0" w:space="0" w:color="auto"/>
      </w:divBdr>
    </w:div>
    <w:div w:id="967080779">
      <w:bodyDiv w:val="1"/>
      <w:marLeft w:val="0"/>
      <w:marRight w:val="0"/>
      <w:marTop w:val="0"/>
      <w:marBottom w:val="0"/>
      <w:divBdr>
        <w:top w:val="none" w:sz="0" w:space="0" w:color="auto"/>
        <w:left w:val="none" w:sz="0" w:space="0" w:color="auto"/>
        <w:bottom w:val="none" w:sz="0" w:space="0" w:color="auto"/>
        <w:right w:val="none" w:sz="0" w:space="0" w:color="auto"/>
      </w:divBdr>
    </w:div>
    <w:div w:id="1192454247">
      <w:bodyDiv w:val="1"/>
      <w:marLeft w:val="0"/>
      <w:marRight w:val="0"/>
      <w:marTop w:val="0"/>
      <w:marBottom w:val="0"/>
      <w:divBdr>
        <w:top w:val="none" w:sz="0" w:space="0" w:color="auto"/>
        <w:left w:val="none" w:sz="0" w:space="0" w:color="auto"/>
        <w:bottom w:val="none" w:sz="0" w:space="0" w:color="auto"/>
        <w:right w:val="none" w:sz="0" w:space="0" w:color="auto"/>
      </w:divBdr>
    </w:div>
    <w:div w:id="1194853882">
      <w:bodyDiv w:val="1"/>
      <w:marLeft w:val="0"/>
      <w:marRight w:val="0"/>
      <w:marTop w:val="0"/>
      <w:marBottom w:val="0"/>
      <w:divBdr>
        <w:top w:val="none" w:sz="0" w:space="0" w:color="auto"/>
        <w:left w:val="none" w:sz="0" w:space="0" w:color="auto"/>
        <w:bottom w:val="none" w:sz="0" w:space="0" w:color="auto"/>
        <w:right w:val="none" w:sz="0" w:space="0" w:color="auto"/>
      </w:divBdr>
    </w:div>
    <w:div w:id="1206868851">
      <w:bodyDiv w:val="1"/>
      <w:marLeft w:val="0"/>
      <w:marRight w:val="0"/>
      <w:marTop w:val="0"/>
      <w:marBottom w:val="0"/>
      <w:divBdr>
        <w:top w:val="none" w:sz="0" w:space="0" w:color="auto"/>
        <w:left w:val="none" w:sz="0" w:space="0" w:color="auto"/>
        <w:bottom w:val="none" w:sz="0" w:space="0" w:color="auto"/>
        <w:right w:val="none" w:sz="0" w:space="0" w:color="auto"/>
      </w:divBdr>
    </w:div>
    <w:div w:id="1248226644">
      <w:bodyDiv w:val="1"/>
      <w:marLeft w:val="0"/>
      <w:marRight w:val="0"/>
      <w:marTop w:val="0"/>
      <w:marBottom w:val="0"/>
      <w:divBdr>
        <w:top w:val="none" w:sz="0" w:space="0" w:color="auto"/>
        <w:left w:val="none" w:sz="0" w:space="0" w:color="auto"/>
        <w:bottom w:val="none" w:sz="0" w:space="0" w:color="auto"/>
        <w:right w:val="none" w:sz="0" w:space="0" w:color="auto"/>
      </w:divBdr>
    </w:div>
    <w:div w:id="1256743491">
      <w:bodyDiv w:val="1"/>
      <w:marLeft w:val="0"/>
      <w:marRight w:val="0"/>
      <w:marTop w:val="0"/>
      <w:marBottom w:val="0"/>
      <w:divBdr>
        <w:top w:val="none" w:sz="0" w:space="0" w:color="auto"/>
        <w:left w:val="none" w:sz="0" w:space="0" w:color="auto"/>
        <w:bottom w:val="none" w:sz="0" w:space="0" w:color="auto"/>
        <w:right w:val="none" w:sz="0" w:space="0" w:color="auto"/>
      </w:divBdr>
      <w:divsChild>
        <w:div w:id="1537042308">
          <w:marLeft w:val="1166"/>
          <w:marRight w:val="0"/>
          <w:marTop w:val="106"/>
          <w:marBottom w:val="0"/>
          <w:divBdr>
            <w:top w:val="none" w:sz="0" w:space="0" w:color="auto"/>
            <w:left w:val="none" w:sz="0" w:space="0" w:color="auto"/>
            <w:bottom w:val="none" w:sz="0" w:space="0" w:color="auto"/>
            <w:right w:val="none" w:sz="0" w:space="0" w:color="auto"/>
          </w:divBdr>
        </w:div>
      </w:divsChild>
    </w:div>
    <w:div w:id="1367025791">
      <w:bodyDiv w:val="1"/>
      <w:marLeft w:val="0"/>
      <w:marRight w:val="0"/>
      <w:marTop w:val="0"/>
      <w:marBottom w:val="0"/>
      <w:divBdr>
        <w:top w:val="none" w:sz="0" w:space="0" w:color="auto"/>
        <w:left w:val="none" w:sz="0" w:space="0" w:color="auto"/>
        <w:bottom w:val="none" w:sz="0" w:space="0" w:color="auto"/>
        <w:right w:val="none" w:sz="0" w:space="0" w:color="auto"/>
      </w:divBdr>
    </w:div>
    <w:div w:id="1404180186">
      <w:bodyDiv w:val="1"/>
      <w:marLeft w:val="0"/>
      <w:marRight w:val="0"/>
      <w:marTop w:val="0"/>
      <w:marBottom w:val="0"/>
      <w:divBdr>
        <w:top w:val="none" w:sz="0" w:space="0" w:color="auto"/>
        <w:left w:val="none" w:sz="0" w:space="0" w:color="auto"/>
        <w:bottom w:val="none" w:sz="0" w:space="0" w:color="auto"/>
        <w:right w:val="none" w:sz="0" w:space="0" w:color="auto"/>
      </w:divBdr>
    </w:div>
    <w:div w:id="1418599489">
      <w:bodyDiv w:val="1"/>
      <w:marLeft w:val="0"/>
      <w:marRight w:val="0"/>
      <w:marTop w:val="0"/>
      <w:marBottom w:val="0"/>
      <w:divBdr>
        <w:top w:val="none" w:sz="0" w:space="0" w:color="auto"/>
        <w:left w:val="none" w:sz="0" w:space="0" w:color="auto"/>
        <w:bottom w:val="none" w:sz="0" w:space="0" w:color="auto"/>
        <w:right w:val="none" w:sz="0" w:space="0" w:color="auto"/>
      </w:divBdr>
    </w:div>
    <w:div w:id="1573344390">
      <w:bodyDiv w:val="1"/>
      <w:marLeft w:val="0"/>
      <w:marRight w:val="0"/>
      <w:marTop w:val="0"/>
      <w:marBottom w:val="0"/>
      <w:divBdr>
        <w:top w:val="none" w:sz="0" w:space="0" w:color="auto"/>
        <w:left w:val="none" w:sz="0" w:space="0" w:color="auto"/>
        <w:bottom w:val="none" w:sz="0" w:space="0" w:color="auto"/>
        <w:right w:val="none" w:sz="0" w:space="0" w:color="auto"/>
      </w:divBdr>
      <w:divsChild>
        <w:div w:id="477381354">
          <w:marLeft w:val="274"/>
          <w:marRight w:val="0"/>
          <w:marTop w:val="0"/>
          <w:marBottom w:val="0"/>
          <w:divBdr>
            <w:top w:val="none" w:sz="0" w:space="0" w:color="auto"/>
            <w:left w:val="none" w:sz="0" w:space="0" w:color="auto"/>
            <w:bottom w:val="none" w:sz="0" w:space="0" w:color="auto"/>
            <w:right w:val="none" w:sz="0" w:space="0" w:color="auto"/>
          </w:divBdr>
        </w:div>
        <w:div w:id="1931817473">
          <w:marLeft w:val="274"/>
          <w:marRight w:val="0"/>
          <w:marTop w:val="0"/>
          <w:marBottom w:val="0"/>
          <w:divBdr>
            <w:top w:val="none" w:sz="0" w:space="0" w:color="auto"/>
            <w:left w:val="none" w:sz="0" w:space="0" w:color="auto"/>
            <w:bottom w:val="none" w:sz="0" w:space="0" w:color="auto"/>
            <w:right w:val="none" w:sz="0" w:space="0" w:color="auto"/>
          </w:divBdr>
        </w:div>
        <w:div w:id="209535921">
          <w:marLeft w:val="274"/>
          <w:marRight w:val="0"/>
          <w:marTop w:val="0"/>
          <w:marBottom w:val="0"/>
          <w:divBdr>
            <w:top w:val="none" w:sz="0" w:space="0" w:color="auto"/>
            <w:left w:val="none" w:sz="0" w:space="0" w:color="auto"/>
            <w:bottom w:val="none" w:sz="0" w:space="0" w:color="auto"/>
            <w:right w:val="none" w:sz="0" w:space="0" w:color="auto"/>
          </w:divBdr>
        </w:div>
        <w:div w:id="566262575">
          <w:marLeft w:val="274"/>
          <w:marRight w:val="0"/>
          <w:marTop w:val="0"/>
          <w:marBottom w:val="0"/>
          <w:divBdr>
            <w:top w:val="none" w:sz="0" w:space="0" w:color="auto"/>
            <w:left w:val="none" w:sz="0" w:space="0" w:color="auto"/>
            <w:bottom w:val="none" w:sz="0" w:space="0" w:color="auto"/>
            <w:right w:val="none" w:sz="0" w:space="0" w:color="auto"/>
          </w:divBdr>
        </w:div>
      </w:divsChild>
    </w:div>
    <w:div w:id="1766462689">
      <w:bodyDiv w:val="1"/>
      <w:marLeft w:val="0"/>
      <w:marRight w:val="0"/>
      <w:marTop w:val="0"/>
      <w:marBottom w:val="0"/>
      <w:divBdr>
        <w:top w:val="none" w:sz="0" w:space="0" w:color="auto"/>
        <w:left w:val="none" w:sz="0" w:space="0" w:color="auto"/>
        <w:bottom w:val="none" w:sz="0" w:space="0" w:color="auto"/>
        <w:right w:val="none" w:sz="0" w:space="0" w:color="auto"/>
      </w:divBdr>
      <w:divsChild>
        <w:div w:id="1193035650">
          <w:marLeft w:val="547"/>
          <w:marRight w:val="0"/>
          <w:marTop w:val="120"/>
          <w:marBottom w:val="0"/>
          <w:divBdr>
            <w:top w:val="none" w:sz="0" w:space="0" w:color="auto"/>
            <w:left w:val="none" w:sz="0" w:space="0" w:color="auto"/>
            <w:bottom w:val="none" w:sz="0" w:space="0" w:color="auto"/>
            <w:right w:val="none" w:sz="0" w:space="0" w:color="auto"/>
          </w:divBdr>
        </w:div>
        <w:div w:id="2002073332">
          <w:marLeft w:val="1166"/>
          <w:marRight w:val="0"/>
          <w:marTop w:val="106"/>
          <w:marBottom w:val="0"/>
          <w:divBdr>
            <w:top w:val="none" w:sz="0" w:space="0" w:color="auto"/>
            <w:left w:val="none" w:sz="0" w:space="0" w:color="auto"/>
            <w:bottom w:val="none" w:sz="0" w:space="0" w:color="auto"/>
            <w:right w:val="none" w:sz="0" w:space="0" w:color="auto"/>
          </w:divBdr>
        </w:div>
        <w:div w:id="1186210150">
          <w:marLeft w:val="1166"/>
          <w:marRight w:val="0"/>
          <w:marTop w:val="106"/>
          <w:marBottom w:val="0"/>
          <w:divBdr>
            <w:top w:val="none" w:sz="0" w:space="0" w:color="auto"/>
            <w:left w:val="none" w:sz="0" w:space="0" w:color="auto"/>
            <w:bottom w:val="none" w:sz="0" w:space="0" w:color="auto"/>
            <w:right w:val="none" w:sz="0" w:space="0" w:color="auto"/>
          </w:divBdr>
        </w:div>
        <w:div w:id="1472090806">
          <w:marLeft w:val="547"/>
          <w:marRight w:val="0"/>
          <w:marTop w:val="120"/>
          <w:marBottom w:val="0"/>
          <w:divBdr>
            <w:top w:val="none" w:sz="0" w:space="0" w:color="auto"/>
            <w:left w:val="none" w:sz="0" w:space="0" w:color="auto"/>
            <w:bottom w:val="none" w:sz="0" w:space="0" w:color="auto"/>
            <w:right w:val="none" w:sz="0" w:space="0" w:color="auto"/>
          </w:divBdr>
        </w:div>
        <w:div w:id="775561418">
          <w:marLeft w:val="547"/>
          <w:marRight w:val="0"/>
          <w:marTop w:val="120"/>
          <w:marBottom w:val="0"/>
          <w:divBdr>
            <w:top w:val="none" w:sz="0" w:space="0" w:color="auto"/>
            <w:left w:val="none" w:sz="0" w:space="0" w:color="auto"/>
            <w:bottom w:val="none" w:sz="0" w:space="0" w:color="auto"/>
            <w:right w:val="none" w:sz="0" w:space="0" w:color="auto"/>
          </w:divBdr>
        </w:div>
      </w:divsChild>
    </w:div>
    <w:div w:id="1852908395">
      <w:bodyDiv w:val="1"/>
      <w:marLeft w:val="0"/>
      <w:marRight w:val="0"/>
      <w:marTop w:val="0"/>
      <w:marBottom w:val="0"/>
      <w:divBdr>
        <w:top w:val="none" w:sz="0" w:space="0" w:color="auto"/>
        <w:left w:val="none" w:sz="0" w:space="0" w:color="auto"/>
        <w:bottom w:val="none" w:sz="0" w:space="0" w:color="auto"/>
        <w:right w:val="none" w:sz="0" w:space="0" w:color="auto"/>
      </w:divBdr>
    </w:div>
    <w:div w:id="1871919011">
      <w:bodyDiv w:val="1"/>
      <w:marLeft w:val="0"/>
      <w:marRight w:val="0"/>
      <w:marTop w:val="0"/>
      <w:marBottom w:val="0"/>
      <w:divBdr>
        <w:top w:val="none" w:sz="0" w:space="0" w:color="auto"/>
        <w:left w:val="none" w:sz="0" w:space="0" w:color="auto"/>
        <w:bottom w:val="none" w:sz="0" w:space="0" w:color="auto"/>
        <w:right w:val="none" w:sz="0" w:space="0" w:color="auto"/>
      </w:divBdr>
    </w:div>
    <w:div w:id="1877767251">
      <w:bodyDiv w:val="1"/>
      <w:marLeft w:val="0"/>
      <w:marRight w:val="0"/>
      <w:marTop w:val="0"/>
      <w:marBottom w:val="0"/>
      <w:divBdr>
        <w:top w:val="none" w:sz="0" w:space="0" w:color="auto"/>
        <w:left w:val="none" w:sz="0" w:space="0" w:color="auto"/>
        <w:bottom w:val="none" w:sz="0" w:space="0" w:color="auto"/>
        <w:right w:val="none" w:sz="0" w:space="0" w:color="auto"/>
      </w:divBdr>
    </w:div>
    <w:div w:id="1922711536">
      <w:bodyDiv w:val="1"/>
      <w:marLeft w:val="0"/>
      <w:marRight w:val="0"/>
      <w:marTop w:val="0"/>
      <w:marBottom w:val="0"/>
      <w:divBdr>
        <w:top w:val="none" w:sz="0" w:space="0" w:color="auto"/>
        <w:left w:val="none" w:sz="0" w:space="0" w:color="auto"/>
        <w:bottom w:val="none" w:sz="0" w:space="0" w:color="auto"/>
        <w:right w:val="none" w:sz="0" w:space="0" w:color="auto"/>
      </w:divBdr>
    </w:div>
    <w:div w:id="1949696519">
      <w:bodyDiv w:val="1"/>
      <w:marLeft w:val="0"/>
      <w:marRight w:val="0"/>
      <w:marTop w:val="0"/>
      <w:marBottom w:val="0"/>
      <w:divBdr>
        <w:top w:val="none" w:sz="0" w:space="0" w:color="auto"/>
        <w:left w:val="none" w:sz="0" w:space="0" w:color="auto"/>
        <w:bottom w:val="none" w:sz="0" w:space="0" w:color="auto"/>
        <w:right w:val="none" w:sz="0" w:space="0" w:color="auto"/>
      </w:divBdr>
    </w:div>
    <w:div w:id="197335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D0AC460-7803-4F83-9688-3704F54E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1527</Words>
  <Characters>8708</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ORANGE FT Group</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佐野洋介</dc:creator>
  <cp:keywords>CTPClassification=CTP_NT</cp:keywords>
  <cp:lastModifiedBy>佐野洋介</cp:lastModifiedBy>
  <cp:revision>2</cp:revision>
  <dcterms:created xsi:type="dcterms:W3CDTF">2018-03-02T14:51:00Z</dcterms:created>
  <dcterms:modified xsi:type="dcterms:W3CDTF">2018-03-02T14:51:00Z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638b0392-ab73-4d99-b45d-e4b81f949883</vt:lpwstr>
  </property>
  <property fmtid="{D5CDD505-2E9C-101B-9397-08002B2CF9AE}" pid="3" name="CTP_TimeStamp">
    <vt:lpwstr>2018-03-02 13:28:08Z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